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723400" w14:textId="652CCC47" w:rsidR="00CF1C9E" w:rsidRDefault="00000000">
      <w:pPr>
        <w:jc w:val="center"/>
        <w:rPr>
          <w:rFonts w:cs="Arial"/>
          <w:b/>
          <w:sz w:val="28"/>
          <w:szCs w:val="28"/>
        </w:rPr>
      </w:pPr>
      <w:r>
        <w:rPr>
          <w:rFonts w:cs="Arial"/>
          <w:b/>
          <w:sz w:val="28"/>
          <w:szCs w:val="28"/>
        </w:rPr>
        <w:t xml:space="preserve">CLINICAL PRACTICE STANDARD –– Aeromedical </w:t>
      </w:r>
      <w:r w:rsidR="0062182B">
        <w:rPr>
          <w:rFonts w:cs="Arial"/>
          <w:b/>
          <w:sz w:val="28"/>
          <w:szCs w:val="28"/>
        </w:rPr>
        <w:t xml:space="preserve">&amp; Special </w:t>
      </w:r>
      <w:r>
        <w:rPr>
          <w:rFonts w:cs="Arial"/>
          <w:b/>
          <w:sz w:val="28"/>
          <w:szCs w:val="28"/>
        </w:rPr>
        <w:t>Operations</w:t>
      </w:r>
    </w:p>
    <w:p w14:paraId="5441C81A" w14:textId="77777777" w:rsidR="00CF1C9E" w:rsidRDefault="00000000">
      <w:pPr>
        <w:jc w:val="center"/>
        <w:rPr>
          <w:rFonts w:cs="Arial"/>
          <w:b/>
          <w:sz w:val="28"/>
          <w:szCs w:val="28"/>
        </w:rPr>
      </w:pPr>
      <w:r>
        <w:rPr>
          <w:rFonts w:cs="Arial"/>
          <w:b/>
          <w:sz w:val="28"/>
          <w:szCs w:val="28"/>
        </w:rPr>
        <w:t>AO.CLI.08 – Major Burns</w:t>
      </w:r>
    </w:p>
    <w:p w14:paraId="7AA6810E" w14:textId="77777777" w:rsidR="00CF1C9E" w:rsidRDefault="00CF1C9E">
      <w:pPr>
        <w:jc w:val="center"/>
        <w:rPr>
          <w:rFonts w:cs="Arial"/>
          <w:b/>
          <w:sz w:val="28"/>
          <w:szCs w:val="28"/>
        </w:rPr>
      </w:pPr>
    </w:p>
    <w:tbl>
      <w:tblPr>
        <w:tblW w:w="10509" w:type="dxa"/>
        <w:jc w:val="center"/>
        <w:tblLook w:val="01E0" w:firstRow="1" w:lastRow="1" w:firstColumn="1" w:lastColumn="1" w:noHBand="0" w:noVBand="0"/>
      </w:tblPr>
      <w:tblGrid>
        <w:gridCol w:w="2172"/>
        <w:gridCol w:w="1799"/>
        <w:gridCol w:w="6538"/>
      </w:tblGrid>
      <w:tr w:rsidR="00CF1C9E" w14:paraId="37DACD85" w14:textId="77777777">
        <w:trPr>
          <w:jc w:val="center"/>
        </w:trPr>
        <w:tc>
          <w:tcPr>
            <w:tcW w:w="2172" w:type="dxa"/>
          </w:tcPr>
          <w:p w14:paraId="60B200B4" w14:textId="77777777" w:rsidR="00CF1C9E" w:rsidRDefault="00000000">
            <w:pPr>
              <w:spacing w:before="60" w:after="60"/>
              <w:jc w:val="right"/>
              <w:rPr>
                <w:rFonts w:cs="Arial"/>
                <w:b/>
              </w:rPr>
            </w:pPr>
            <w:r>
              <w:rPr>
                <w:rFonts w:cs="Arial"/>
                <w:b/>
              </w:rPr>
              <w:t>Document No.</w:t>
            </w:r>
          </w:p>
        </w:tc>
        <w:tc>
          <w:tcPr>
            <w:tcW w:w="8337" w:type="dxa"/>
            <w:gridSpan w:val="2"/>
          </w:tcPr>
          <w:p w14:paraId="27D1D4BB" w14:textId="21F10EA6" w:rsidR="00CF1C9E" w:rsidRDefault="007A34C4">
            <w:pPr>
              <w:spacing w:before="60" w:after="60"/>
              <w:rPr>
                <w:rFonts w:cs="Arial"/>
              </w:rPr>
            </w:pPr>
            <w:r>
              <w:rPr>
                <w:rFonts w:cs="Arial"/>
              </w:rPr>
              <w:t>D62526/26</w:t>
            </w:r>
          </w:p>
        </w:tc>
      </w:tr>
      <w:tr w:rsidR="00CF1C9E" w14:paraId="200F523F" w14:textId="77777777">
        <w:trPr>
          <w:jc w:val="center"/>
        </w:trPr>
        <w:tc>
          <w:tcPr>
            <w:tcW w:w="2172" w:type="dxa"/>
          </w:tcPr>
          <w:p w14:paraId="600B3B02" w14:textId="77777777" w:rsidR="00CF1C9E" w:rsidRDefault="00000000">
            <w:pPr>
              <w:spacing w:before="60" w:after="60"/>
              <w:jc w:val="right"/>
              <w:rPr>
                <w:rFonts w:cs="Arial"/>
                <w:b/>
              </w:rPr>
            </w:pPr>
            <w:r>
              <w:rPr>
                <w:rFonts w:cs="Arial"/>
                <w:b/>
              </w:rPr>
              <w:t>File No.</w:t>
            </w:r>
          </w:p>
        </w:tc>
        <w:tc>
          <w:tcPr>
            <w:tcW w:w="8337" w:type="dxa"/>
            <w:gridSpan w:val="2"/>
          </w:tcPr>
          <w:p w14:paraId="29E3B7CF" w14:textId="699CBC90" w:rsidR="00CF1C9E" w:rsidRDefault="007A34C4">
            <w:pPr>
              <w:spacing w:before="60" w:after="60"/>
              <w:rPr>
                <w:rFonts w:cs="Arial"/>
              </w:rPr>
            </w:pPr>
            <w:r>
              <w:rPr>
                <w:rFonts w:cs="Arial"/>
              </w:rPr>
              <w:t>E26/1206</w:t>
            </w:r>
          </w:p>
        </w:tc>
      </w:tr>
      <w:tr w:rsidR="00CF1C9E" w14:paraId="4C0F38B5" w14:textId="77777777">
        <w:trPr>
          <w:jc w:val="center"/>
        </w:trPr>
        <w:tc>
          <w:tcPr>
            <w:tcW w:w="2172" w:type="dxa"/>
          </w:tcPr>
          <w:p w14:paraId="06D310C2" w14:textId="77777777" w:rsidR="00CF1C9E" w:rsidRDefault="00000000">
            <w:pPr>
              <w:spacing w:before="60" w:after="60"/>
              <w:jc w:val="right"/>
              <w:rPr>
                <w:rFonts w:cs="Arial"/>
                <w:b/>
              </w:rPr>
            </w:pPr>
            <w:r>
              <w:rPr>
                <w:rFonts w:cs="Arial"/>
                <w:b/>
              </w:rPr>
              <w:t>Date issued</w:t>
            </w:r>
          </w:p>
        </w:tc>
        <w:tc>
          <w:tcPr>
            <w:tcW w:w="8337" w:type="dxa"/>
            <w:gridSpan w:val="2"/>
          </w:tcPr>
          <w:p w14:paraId="6A369C18" w14:textId="7BB5CB1D" w:rsidR="00CF1C9E" w:rsidRDefault="007A34C4">
            <w:pPr>
              <w:spacing w:before="60" w:after="60"/>
              <w:rPr>
                <w:rFonts w:cs="Arial"/>
              </w:rPr>
            </w:pPr>
            <w:r>
              <w:rPr>
                <w:rFonts w:cs="Arial"/>
              </w:rPr>
              <w:t>September 2026</w:t>
            </w:r>
          </w:p>
        </w:tc>
      </w:tr>
      <w:tr w:rsidR="00CF1C9E" w14:paraId="58A325F7" w14:textId="77777777">
        <w:trPr>
          <w:jc w:val="center"/>
        </w:trPr>
        <w:tc>
          <w:tcPr>
            <w:tcW w:w="2172" w:type="dxa"/>
            <w:vMerge w:val="restart"/>
          </w:tcPr>
          <w:p w14:paraId="7EFF587C" w14:textId="77777777" w:rsidR="00CF1C9E" w:rsidRDefault="00000000">
            <w:pPr>
              <w:spacing w:before="60" w:after="60"/>
              <w:jc w:val="right"/>
              <w:rPr>
                <w:rFonts w:cs="Arial"/>
                <w:b/>
              </w:rPr>
            </w:pPr>
            <w:r>
              <w:rPr>
                <w:rFonts w:cs="Arial"/>
                <w:b/>
              </w:rPr>
              <w:t>Contents</w:t>
            </w:r>
          </w:p>
        </w:tc>
        <w:tc>
          <w:tcPr>
            <w:tcW w:w="1799" w:type="dxa"/>
            <w:tcBorders>
              <w:top w:val="single" w:sz="4" w:space="0" w:color="auto"/>
              <w:bottom w:val="single" w:sz="4" w:space="0" w:color="auto"/>
            </w:tcBorders>
          </w:tcPr>
          <w:p w14:paraId="24F279FF" w14:textId="77777777" w:rsidR="00CF1C9E" w:rsidRDefault="00000000">
            <w:pPr>
              <w:spacing w:before="60" w:after="60"/>
              <w:rPr>
                <w:rFonts w:cs="Arial"/>
                <w:b/>
                <w:sz w:val="16"/>
                <w:szCs w:val="16"/>
              </w:rPr>
            </w:pPr>
            <w:r>
              <w:rPr>
                <w:rFonts w:cs="Arial"/>
                <w:b/>
                <w:sz w:val="16"/>
                <w:szCs w:val="16"/>
              </w:rPr>
              <w:t>Clinical Practice Standard</w:t>
            </w:r>
          </w:p>
        </w:tc>
        <w:tc>
          <w:tcPr>
            <w:tcW w:w="6538" w:type="dxa"/>
            <w:tcBorders>
              <w:top w:val="single" w:sz="4" w:space="0" w:color="auto"/>
              <w:bottom w:val="single" w:sz="4" w:space="0" w:color="auto"/>
            </w:tcBorders>
          </w:tcPr>
          <w:p w14:paraId="053EE350" w14:textId="77777777" w:rsidR="00CF1C9E" w:rsidRDefault="00000000">
            <w:pPr>
              <w:spacing w:before="60" w:after="60"/>
              <w:rPr>
                <w:rFonts w:cs="Arial"/>
                <w:sz w:val="16"/>
                <w:szCs w:val="16"/>
              </w:rPr>
            </w:pPr>
            <w:r>
              <w:rPr>
                <w:rFonts w:cs="Arial"/>
                <w:sz w:val="16"/>
                <w:szCs w:val="16"/>
              </w:rPr>
              <w:t>AO.CLI.08 – Major Burns</w:t>
            </w:r>
          </w:p>
        </w:tc>
      </w:tr>
      <w:tr w:rsidR="00CF1C9E" w14:paraId="3D7E719D" w14:textId="77777777">
        <w:trPr>
          <w:jc w:val="center"/>
        </w:trPr>
        <w:tc>
          <w:tcPr>
            <w:tcW w:w="2172" w:type="dxa"/>
            <w:vMerge/>
          </w:tcPr>
          <w:p w14:paraId="05F44D86" w14:textId="77777777" w:rsidR="00CF1C9E" w:rsidRDefault="00CF1C9E"/>
        </w:tc>
        <w:tc>
          <w:tcPr>
            <w:tcW w:w="1799" w:type="dxa"/>
            <w:tcBorders>
              <w:top w:val="single" w:sz="4" w:space="0" w:color="auto"/>
              <w:bottom w:val="single" w:sz="4" w:space="0" w:color="auto"/>
            </w:tcBorders>
          </w:tcPr>
          <w:p w14:paraId="084ECA86" w14:textId="77777777" w:rsidR="00CF1C9E" w:rsidRDefault="00000000">
            <w:pPr>
              <w:spacing w:before="60" w:after="60"/>
              <w:rPr>
                <w:rFonts w:cs="Arial"/>
                <w:b/>
                <w:sz w:val="16"/>
                <w:szCs w:val="16"/>
              </w:rPr>
            </w:pPr>
            <w:r>
              <w:rPr>
                <w:rFonts w:cs="Arial"/>
                <w:b/>
                <w:sz w:val="16"/>
                <w:szCs w:val="16"/>
              </w:rPr>
              <w:t>Attachments</w:t>
            </w:r>
          </w:p>
        </w:tc>
        <w:tc>
          <w:tcPr>
            <w:tcW w:w="6538" w:type="dxa"/>
            <w:tcBorders>
              <w:top w:val="single" w:sz="4" w:space="0" w:color="auto"/>
              <w:bottom w:val="single" w:sz="4" w:space="0" w:color="auto"/>
            </w:tcBorders>
          </w:tcPr>
          <w:p w14:paraId="51BC3D09" w14:textId="77777777" w:rsidR="00CF1C9E" w:rsidRDefault="00000000">
            <w:pPr>
              <w:spacing w:before="60" w:after="60"/>
              <w:rPr>
                <w:rFonts w:cs="Arial"/>
                <w:sz w:val="16"/>
                <w:szCs w:val="16"/>
              </w:rPr>
            </w:pPr>
            <w:r>
              <w:rPr>
                <w:rFonts w:cs="Arial"/>
                <w:sz w:val="16"/>
                <w:szCs w:val="16"/>
              </w:rPr>
              <w:t>Appendix 1 - Recommended Incision Sites For Escharotomy</w:t>
            </w:r>
          </w:p>
        </w:tc>
      </w:tr>
      <w:tr w:rsidR="00CF1C9E" w14:paraId="4B5E3875" w14:textId="77777777">
        <w:trPr>
          <w:jc w:val="center"/>
        </w:trPr>
        <w:tc>
          <w:tcPr>
            <w:tcW w:w="2172" w:type="dxa"/>
          </w:tcPr>
          <w:p w14:paraId="36D96ABA" w14:textId="77777777" w:rsidR="00CF1C9E" w:rsidRDefault="00000000">
            <w:pPr>
              <w:spacing w:before="60" w:after="60"/>
              <w:jc w:val="right"/>
              <w:rPr>
                <w:rFonts w:cs="Arial"/>
                <w:b/>
              </w:rPr>
            </w:pPr>
            <w:r>
              <w:rPr>
                <w:rFonts w:cs="Arial"/>
                <w:b/>
              </w:rPr>
              <w:t>Associated Policy Directive/s and/or Operating Procedures/s</w:t>
            </w:r>
          </w:p>
        </w:tc>
        <w:tc>
          <w:tcPr>
            <w:tcW w:w="8337" w:type="dxa"/>
            <w:gridSpan w:val="2"/>
          </w:tcPr>
          <w:p w14:paraId="4DE0417A" w14:textId="77777777" w:rsidR="00CF1C9E" w:rsidRDefault="00000000">
            <w:pPr>
              <w:spacing w:before="60" w:after="60"/>
              <w:rPr>
                <w:rFonts w:cs="Arial"/>
              </w:rPr>
            </w:pPr>
            <w:r>
              <w:rPr>
                <w:rFonts w:cs="Arial"/>
              </w:rPr>
              <w:t>NSW Burns Transfer Guidelines</w:t>
            </w:r>
          </w:p>
          <w:p w14:paraId="2F3CD258" w14:textId="77777777" w:rsidR="00CF1C9E" w:rsidRDefault="00000000">
            <w:pPr>
              <w:spacing w:before="60" w:after="60"/>
              <w:rPr>
                <w:rFonts w:cs="Arial"/>
              </w:rPr>
            </w:pPr>
            <w:r>
              <w:rPr>
                <w:rFonts w:cs="Arial"/>
              </w:rPr>
              <w:t>HELI.CLI.13 - Pre-Hospital Trauma Triage</w:t>
            </w:r>
          </w:p>
        </w:tc>
      </w:tr>
      <w:tr w:rsidR="00CF1C9E" w14:paraId="144D3CA3" w14:textId="77777777">
        <w:trPr>
          <w:jc w:val="center"/>
        </w:trPr>
        <w:tc>
          <w:tcPr>
            <w:tcW w:w="2172" w:type="dxa"/>
          </w:tcPr>
          <w:p w14:paraId="78A8CD12" w14:textId="77777777" w:rsidR="00CF1C9E" w:rsidRDefault="00000000">
            <w:pPr>
              <w:spacing w:before="60" w:after="60"/>
              <w:jc w:val="right"/>
              <w:rPr>
                <w:rFonts w:cs="Arial"/>
                <w:b/>
              </w:rPr>
            </w:pPr>
            <w:r>
              <w:rPr>
                <w:rFonts w:cs="Arial"/>
                <w:b/>
              </w:rPr>
              <w:t>Directorate</w:t>
            </w:r>
          </w:p>
        </w:tc>
        <w:tc>
          <w:tcPr>
            <w:tcW w:w="8337" w:type="dxa"/>
            <w:gridSpan w:val="2"/>
          </w:tcPr>
          <w:p w14:paraId="7ED0334E" w14:textId="028CB0B0" w:rsidR="00CF1C9E" w:rsidRDefault="00000000">
            <w:pPr>
              <w:spacing w:before="60" w:after="60"/>
              <w:rPr>
                <w:rFonts w:cs="Arial"/>
              </w:rPr>
            </w:pPr>
            <w:r>
              <w:rPr>
                <w:rFonts w:cs="Arial"/>
              </w:rPr>
              <w:t xml:space="preserve">Aeromedical </w:t>
            </w:r>
            <w:r w:rsidR="0062182B">
              <w:rPr>
                <w:rFonts w:cs="Arial"/>
              </w:rPr>
              <w:t xml:space="preserve">&amp; Special </w:t>
            </w:r>
            <w:r>
              <w:rPr>
                <w:rFonts w:cs="Arial"/>
              </w:rPr>
              <w:t>Operations</w:t>
            </w:r>
          </w:p>
        </w:tc>
      </w:tr>
      <w:tr w:rsidR="00CF1C9E" w14:paraId="1C5CD920" w14:textId="77777777">
        <w:trPr>
          <w:jc w:val="center"/>
        </w:trPr>
        <w:tc>
          <w:tcPr>
            <w:tcW w:w="2172" w:type="dxa"/>
          </w:tcPr>
          <w:p w14:paraId="721BF215" w14:textId="77777777" w:rsidR="00CF1C9E" w:rsidRDefault="00000000">
            <w:pPr>
              <w:spacing w:before="60" w:after="60"/>
              <w:jc w:val="right"/>
              <w:rPr>
                <w:rFonts w:cs="Arial"/>
                <w:b/>
              </w:rPr>
            </w:pPr>
            <w:r>
              <w:rPr>
                <w:rFonts w:cs="Arial"/>
                <w:b/>
              </w:rPr>
              <w:t>Author Branch</w:t>
            </w:r>
          </w:p>
        </w:tc>
        <w:tc>
          <w:tcPr>
            <w:tcW w:w="8337" w:type="dxa"/>
            <w:gridSpan w:val="2"/>
          </w:tcPr>
          <w:p w14:paraId="35230AAA" w14:textId="431AF66F" w:rsidR="00CF1C9E" w:rsidRDefault="007A34C4">
            <w:pPr>
              <w:spacing w:before="60" w:after="60"/>
              <w:rPr>
                <w:rFonts w:cs="Arial"/>
              </w:rPr>
            </w:pPr>
            <w:r>
              <w:rPr>
                <w:rFonts w:cs="Arial"/>
              </w:rPr>
              <w:t>Medical Retrieval</w:t>
            </w:r>
          </w:p>
        </w:tc>
      </w:tr>
      <w:tr w:rsidR="00CF1C9E" w14:paraId="2FE9AF64" w14:textId="77777777">
        <w:trPr>
          <w:jc w:val="center"/>
        </w:trPr>
        <w:tc>
          <w:tcPr>
            <w:tcW w:w="2172" w:type="dxa"/>
          </w:tcPr>
          <w:p w14:paraId="31027166" w14:textId="77777777" w:rsidR="00CF1C9E" w:rsidRDefault="00000000">
            <w:pPr>
              <w:spacing w:before="60" w:after="60"/>
              <w:jc w:val="right"/>
              <w:rPr>
                <w:rFonts w:cs="Arial"/>
                <w:b/>
              </w:rPr>
            </w:pPr>
            <w:r>
              <w:rPr>
                <w:rFonts w:cs="Arial"/>
                <w:b/>
              </w:rPr>
              <w:t>Branch Contact</w:t>
            </w:r>
          </w:p>
        </w:tc>
        <w:tc>
          <w:tcPr>
            <w:tcW w:w="8337" w:type="dxa"/>
            <w:gridSpan w:val="2"/>
          </w:tcPr>
          <w:p w14:paraId="45C5288D" w14:textId="6E472D57" w:rsidR="00CF1C9E" w:rsidRDefault="0062182B">
            <w:pPr>
              <w:spacing w:before="60" w:after="60"/>
              <w:rPr>
                <w:rFonts w:cs="Arial"/>
              </w:rPr>
            </w:pPr>
            <w:r>
              <w:rPr>
                <w:rFonts w:cs="Arial"/>
              </w:rPr>
              <w:t>Associate Director, Medical Retrieval</w:t>
            </w:r>
          </w:p>
          <w:p w14:paraId="37B1828A" w14:textId="4ABF5A9D" w:rsidR="00CF1C9E" w:rsidRDefault="00000000">
            <w:pPr>
              <w:spacing w:before="60" w:after="60"/>
              <w:rPr>
                <w:rFonts w:cs="Arial"/>
              </w:rPr>
            </w:pPr>
            <w:r>
              <w:rPr>
                <w:rFonts w:cs="Arial"/>
              </w:rPr>
              <w:t xml:space="preserve">Phone:  </w:t>
            </w:r>
            <w:r w:rsidR="0062182B">
              <w:rPr>
                <w:rFonts w:cs="Arial"/>
              </w:rPr>
              <w:t>0416 371 103</w:t>
            </w:r>
          </w:p>
        </w:tc>
      </w:tr>
      <w:tr w:rsidR="00CF1C9E" w14:paraId="3F95DB2D" w14:textId="77777777">
        <w:trPr>
          <w:jc w:val="center"/>
        </w:trPr>
        <w:tc>
          <w:tcPr>
            <w:tcW w:w="2172" w:type="dxa"/>
          </w:tcPr>
          <w:p w14:paraId="32FA5F34" w14:textId="77777777" w:rsidR="00CF1C9E" w:rsidRDefault="00000000">
            <w:pPr>
              <w:spacing w:before="60" w:after="60"/>
              <w:jc w:val="right"/>
              <w:rPr>
                <w:rFonts w:cs="Arial"/>
                <w:b/>
              </w:rPr>
            </w:pPr>
            <w:r>
              <w:rPr>
                <w:rFonts w:cs="Arial"/>
                <w:b/>
              </w:rPr>
              <w:t>Summary</w:t>
            </w:r>
          </w:p>
        </w:tc>
        <w:tc>
          <w:tcPr>
            <w:tcW w:w="8337" w:type="dxa"/>
            <w:gridSpan w:val="2"/>
          </w:tcPr>
          <w:p w14:paraId="4A23197E" w14:textId="77777777" w:rsidR="00CF1C9E" w:rsidRDefault="00000000">
            <w:pPr>
              <w:spacing w:before="60" w:after="60"/>
              <w:rPr>
                <w:rFonts w:cs="Arial"/>
              </w:rPr>
            </w:pPr>
            <w:r>
              <w:rPr>
                <w:rFonts w:cs="Arial"/>
              </w:rPr>
              <w:t>The purpose of this procedure is to outline the pre-hospital and inter-hospital assessment and management of patients with major burns.</w:t>
            </w:r>
          </w:p>
        </w:tc>
      </w:tr>
      <w:tr w:rsidR="00CF1C9E" w14:paraId="3D842368" w14:textId="77777777">
        <w:trPr>
          <w:jc w:val="center"/>
        </w:trPr>
        <w:tc>
          <w:tcPr>
            <w:tcW w:w="2172" w:type="dxa"/>
          </w:tcPr>
          <w:p w14:paraId="73063678" w14:textId="77777777" w:rsidR="00CF1C9E" w:rsidRDefault="00000000">
            <w:pPr>
              <w:spacing w:before="60" w:after="60"/>
              <w:jc w:val="right"/>
              <w:rPr>
                <w:rFonts w:cs="Arial"/>
                <w:b/>
              </w:rPr>
            </w:pPr>
            <w:r>
              <w:rPr>
                <w:rFonts w:cs="Arial"/>
                <w:b/>
              </w:rPr>
              <w:t>Applies to</w:t>
            </w:r>
          </w:p>
        </w:tc>
        <w:tc>
          <w:tcPr>
            <w:tcW w:w="8337" w:type="dxa"/>
            <w:gridSpan w:val="2"/>
          </w:tcPr>
          <w:p w14:paraId="506493BA" w14:textId="77777777" w:rsidR="00CF1C9E" w:rsidRDefault="00000000">
            <w:pPr>
              <w:spacing w:before="60" w:after="60"/>
              <w:rPr>
                <w:rFonts w:cs="Arial"/>
              </w:rPr>
            </w:pPr>
            <w:r>
              <w:rPr>
                <w:rFonts w:cs="Arial"/>
              </w:rPr>
              <w:t>NSW Ambulance aeromedical clinical crew.</w:t>
            </w:r>
          </w:p>
        </w:tc>
      </w:tr>
      <w:tr w:rsidR="00CF1C9E" w14:paraId="698B6DC2" w14:textId="77777777">
        <w:trPr>
          <w:jc w:val="center"/>
        </w:trPr>
        <w:tc>
          <w:tcPr>
            <w:tcW w:w="2172" w:type="dxa"/>
          </w:tcPr>
          <w:p w14:paraId="114F28A6" w14:textId="77777777" w:rsidR="00CF1C9E" w:rsidRDefault="00000000">
            <w:pPr>
              <w:spacing w:before="60" w:after="60"/>
              <w:jc w:val="right"/>
              <w:rPr>
                <w:rFonts w:cs="Arial"/>
                <w:b/>
              </w:rPr>
            </w:pPr>
            <w:r>
              <w:rPr>
                <w:rFonts w:cs="Arial"/>
                <w:b/>
              </w:rPr>
              <w:t>Review Date</w:t>
            </w:r>
          </w:p>
        </w:tc>
        <w:tc>
          <w:tcPr>
            <w:tcW w:w="8337" w:type="dxa"/>
            <w:gridSpan w:val="2"/>
          </w:tcPr>
          <w:p w14:paraId="24D70FF2" w14:textId="77777777" w:rsidR="00CF1C9E" w:rsidRDefault="00000000">
            <w:pPr>
              <w:spacing w:before="60" w:after="60"/>
              <w:rPr>
                <w:rFonts w:cs="Arial"/>
              </w:rPr>
            </w:pPr>
            <w:r>
              <w:rPr>
                <w:rFonts w:cs="Arial"/>
              </w:rPr>
              <w:t>Oct 2026</w:t>
            </w:r>
          </w:p>
        </w:tc>
      </w:tr>
      <w:tr w:rsidR="00CF1C9E" w14:paraId="45DA88AD" w14:textId="77777777">
        <w:trPr>
          <w:jc w:val="center"/>
        </w:trPr>
        <w:tc>
          <w:tcPr>
            <w:tcW w:w="2172" w:type="dxa"/>
          </w:tcPr>
          <w:p w14:paraId="24FEAA2F" w14:textId="77777777" w:rsidR="00CF1C9E" w:rsidRDefault="00000000">
            <w:pPr>
              <w:spacing w:before="60" w:after="60"/>
              <w:jc w:val="right"/>
              <w:rPr>
                <w:rFonts w:cs="Arial"/>
                <w:b/>
              </w:rPr>
            </w:pPr>
            <w:r>
              <w:rPr>
                <w:rFonts w:cs="Arial"/>
                <w:b/>
              </w:rPr>
              <w:t>Previous Reference</w:t>
            </w:r>
          </w:p>
        </w:tc>
        <w:tc>
          <w:tcPr>
            <w:tcW w:w="8337" w:type="dxa"/>
            <w:gridSpan w:val="2"/>
          </w:tcPr>
          <w:p w14:paraId="58D38678" w14:textId="77777777" w:rsidR="00CF1C9E" w:rsidRDefault="00000000">
            <w:pPr>
              <w:spacing w:before="60" w:after="60"/>
              <w:rPr>
                <w:rFonts w:cs="Arial"/>
              </w:rPr>
            </w:pPr>
            <w:r>
              <w:rPr>
                <w:rFonts w:cs="Arial"/>
              </w:rPr>
              <w:t>Nil</w:t>
            </w:r>
          </w:p>
        </w:tc>
      </w:tr>
      <w:tr w:rsidR="00CF1C9E" w14:paraId="597B7309" w14:textId="77777777">
        <w:trPr>
          <w:jc w:val="center"/>
        </w:trPr>
        <w:tc>
          <w:tcPr>
            <w:tcW w:w="2172" w:type="dxa"/>
          </w:tcPr>
          <w:p w14:paraId="6BBA41F1" w14:textId="77777777" w:rsidR="00CF1C9E" w:rsidRDefault="00000000">
            <w:pPr>
              <w:spacing w:before="60" w:after="60"/>
              <w:jc w:val="right"/>
              <w:rPr>
                <w:rFonts w:cs="Arial"/>
                <w:b/>
              </w:rPr>
            </w:pPr>
            <w:r>
              <w:rPr>
                <w:rFonts w:cs="Arial"/>
                <w:b/>
              </w:rPr>
              <w:t>Status</w:t>
            </w:r>
          </w:p>
        </w:tc>
        <w:tc>
          <w:tcPr>
            <w:tcW w:w="8337" w:type="dxa"/>
            <w:gridSpan w:val="2"/>
          </w:tcPr>
          <w:p w14:paraId="6380A65F" w14:textId="77777777" w:rsidR="00CF1C9E" w:rsidRDefault="00000000">
            <w:pPr>
              <w:spacing w:before="60" w:after="60"/>
              <w:rPr>
                <w:rFonts w:cs="Arial"/>
              </w:rPr>
            </w:pPr>
            <w:r>
              <w:rPr>
                <w:rFonts w:cs="Arial"/>
              </w:rPr>
              <w:t>Active</w:t>
            </w:r>
          </w:p>
        </w:tc>
      </w:tr>
      <w:tr w:rsidR="00CF1C9E" w14:paraId="7097E92C" w14:textId="77777777">
        <w:trPr>
          <w:jc w:val="center"/>
        </w:trPr>
        <w:tc>
          <w:tcPr>
            <w:tcW w:w="2172" w:type="dxa"/>
          </w:tcPr>
          <w:p w14:paraId="6FF90904" w14:textId="77777777" w:rsidR="00CF1C9E" w:rsidRDefault="00000000">
            <w:pPr>
              <w:spacing w:before="60" w:after="60"/>
              <w:jc w:val="right"/>
              <w:rPr>
                <w:rFonts w:cs="Arial"/>
                <w:b/>
              </w:rPr>
            </w:pPr>
            <w:r>
              <w:rPr>
                <w:rFonts w:cs="Arial"/>
                <w:b/>
              </w:rPr>
              <w:t>Approved by</w:t>
            </w:r>
          </w:p>
        </w:tc>
        <w:tc>
          <w:tcPr>
            <w:tcW w:w="8337" w:type="dxa"/>
            <w:gridSpan w:val="2"/>
          </w:tcPr>
          <w:p w14:paraId="3FDBDC1C" w14:textId="201D432C" w:rsidR="00CF1C9E" w:rsidRDefault="007A34C4">
            <w:pPr>
              <w:spacing w:before="60" w:after="60"/>
              <w:rPr>
                <w:rFonts w:cs="Arial"/>
              </w:rPr>
            </w:pPr>
            <w:r>
              <w:rPr>
                <w:rFonts w:cs="Arial"/>
                <w:sz w:val="20"/>
                <w:szCs w:val="20"/>
              </w:rPr>
              <w:t>A/Executive Director, Aeromedical &amp; Special Operations, Dr Thomas Evens, 15 September 2026</w:t>
            </w:r>
          </w:p>
        </w:tc>
      </w:tr>
      <w:tr w:rsidR="00CF1C9E" w14:paraId="2FAF11F5" w14:textId="77777777">
        <w:trPr>
          <w:jc w:val="center"/>
        </w:trPr>
        <w:tc>
          <w:tcPr>
            <w:tcW w:w="2172" w:type="dxa"/>
          </w:tcPr>
          <w:p w14:paraId="5AA86B16" w14:textId="77777777" w:rsidR="00CF1C9E" w:rsidRDefault="00000000">
            <w:pPr>
              <w:spacing w:before="60" w:after="60"/>
              <w:jc w:val="right"/>
              <w:rPr>
                <w:rFonts w:cs="Arial"/>
                <w:b/>
                <w:sz w:val="16"/>
                <w:szCs w:val="16"/>
              </w:rPr>
            </w:pPr>
            <w:r>
              <w:rPr>
                <w:rFonts w:cs="Arial"/>
                <w:b/>
                <w:sz w:val="16"/>
                <w:szCs w:val="16"/>
              </w:rPr>
              <w:t>Related Legislation</w:t>
            </w:r>
          </w:p>
        </w:tc>
        <w:tc>
          <w:tcPr>
            <w:tcW w:w="8337" w:type="dxa"/>
            <w:gridSpan w:val="2"/>
          </w:tcPr>
          <w:p w14:paraId="0A21044F" w14:textId="77777777" w:rsidR="00CF1C9E" w:rsidRDefault="00000000">
            <w:pPr>
              <w:spacing w:before="60" w:after="60"/>
              <w:rPr>
                <w:rFonts w:cs="Arial"/>
                <w:sz w:val="16"/>
                <w:szCs w:val="16"/>
              </w:rPr>
            </w:pPr>
            <w:r>
              <w:rPr>
                <w:rFonts w:cs="Arial"/>
                <w:sz w:val="16"/>
                <w:szCs w:val="16"/>
              </w:rPr>
              <w:t>Nil</w:t>
            </w:r>
          </w:p>
        </w:tc>
      </w:tr>
      <w:tr w:rsidR="00CF1C9E" w14:paraId="7CF51002" w14:textId="77777777">
        <w:trPr>
          <w:jc w:val="center"/>
        </w:trPr>
        <w:tc>
          <w:tcPr>
            <w:tcW w:w="2172" w:type="dxa"/>
          </w:tcPr>
          <w:p w14:paraId="6A50B3E0" w14:textId="77777777" w:rsidR="00CF1C9E" w:rsidRDefault="00000000">
            <w:pPr>
              <w:spacing w:before="60" w:after="60"/>
              <w:jc w:val="right"/>
              <w:rPr>
                <w:rFonts w:cs="Arial"/>
                <w:b/>
                <w:sz w:val="16"/>
                <w:szCs w:val="16"/>
              </w:rPr>
            </w:pPr>
            <w:r>
              <w:rPr>
                <w:rFonts w:cs="Arial"/>
                <w:b/>
                <w:sz w:val="16"/>
                <w:szCs w:val="16"/>
              </w:rPr>
              <w:t>Related Documents</w:t>
            </w:r>
          </w:p>
        </w:tc>
        <w:tc>
          <w:tcPr>
            <w:tcW w:w="8337" w:type="dxa"/>
            <w:gridSpan w:val="2"/>
          </w:tcPr>
          <w:p w14:paraId="35118A58" w14:textId="77777777" w:rsidR="00CF1C9E" w:rsidRDefault="00000000">
            <w:pPr>
              <w:spacing w:before="60" w:after="60"/>
              <w:rPr>
                <w:rFonts w:cs="Arial"/>
                <w:sz w:val="16"/>
                <w:szCs w:val="16"/>
              </w:rPr>
            </w:pPr>
            <w:r>
              <w:rPr>
                <w:rFonts w:cs="Arial"/>
                <w:sz w:val="16"/>
                <w:szCs w:val="16"/>
              </w:rPr>
              <w:t>Nil</w:t>
            </w:r>
          </w:p>
        </w:tc>
      </w:tr>
    </w:tbl>
    <w:p w14:paraId="607405D9" w14:textId="77777777" w:rsidR="00CF1C9E" w:rsidRDefault="00CF1C9E">
      <w:pPr>
        <w:rPr>
          <w:rFonts w:cs="Arial"/>
        </w:rPr>
      </w:pPr>
    </w:p>
    <w:p w14:paraId="5E11500A" w14:textId="77777777" w:rsidR="00CF1C9E" w:rsidRDefault="00CF1C9E">
      <w:pPr>
        <w:rPr>
          <w:rFonts w:cs="Arial"/>
        </w:rPr>
      </w:pPr>
    </w:p>
    <w:p w14:paraId="59387349" w14:textId="77777777" w:rsidR="00CF1C9E" w:rsidRDefault="00000000">
      <w:pPr>
        <w:jc w:val="center"/>
        <w:rPr>
          <w:rFonts w:cs="Arial"/>
          <w:b/>
        </w:rPr>
      </w:pPr>
      <w:r>
        <w:rPr>
          <w:rFonts w:cs="Arial"/>
          <w:b/>
        </w:rPr>
        <w:t>Compliance with this operating procedure is mandatory</w:t>
      </w:r>
    </w:p>
    <w:p w14:paraId="65ABA7AF" w14:textId="77777777" w:rsidR="00CF1C9E" w:rsidRDefault="00000000">
      <w:pPr>
        <w:rPr>
          <w:rFonts w:cs="Arial"/>
        </w:rPr>
      </w:pPr>
      <w:r>
        <w:br w:type="page"/>
      </w:r>
    </w:p>
    <w:p w14:paraId="054CE18F" w14:textId="1D77BD36" w:rsidR="00CF1C9E" w:rsidRDefault="00000000">
      <w:pPr>
        <w:jc w:val="center"/>
        <w:rPr>
          <w:rFonts w:cs="Arial"/>
          <w:b/>
          <w:sz w:val="28"/>
          <w:szCs w:val="28"/>
        </w:rPr>
      </w:pPr>
      <w:r>
        <w:rPr>
          <w:rFonts w:cs="Arial"/>
          <w:b/>
          <w:sz w:val="28"/>
          <w:szCs w:val="28"/>
        </w:rPr>
        <w:lastRenderedPageBreak/>
        <w:t xml:space="preserve">CLINICAL PRACTICE STANDARD –– Aeromedical </w:t>
      </w:r>
      <w:r w:rsidR="0062182B">
        <w:rPr>
          <w:rFonts w:cs="Arial"/>
          <w:b/>
          <w:sz w:val="28"/>
          <w:szCs w:val="28"/>
        </w:rPr>
        <w:t xml:space="preserve">&amp; Special </w:t>
      </w:r>
      <w:r>
        <w:rPr>
          <w:rFonts w:cs="Arial"/>
          <w:b/>
          <w:sz w:val="28"/>
          <w:szCs w:val="28"/>
        </w:rPr>
        <w:t>Operations</w:t>
      </w:r>
    </w:p>
    <w:p w14:paraId="7175DD86" w14:textId="77777777" w:rsidR="00CF1C9E" w:rsidRDefault="00000000">
      <w:pPr>
        <w:jc w:val="center"/>
        <w:rPr>
          <w:rFonts w:cs="Arial"/>
          <w:b/>
          <w:sz w:val="28"/>
          <w:szCs w:val="28"/>
        </w:rPr>
      </w:pPr>
      <w:r>
        <w:rPr>
          <w:rFonts w:cs="Arial"/>
          <w:b/>
          <w:sz w:val="28"/>
          <w:szCs w:val="28"/>
        </w:rPr>
        <w:t>AO.CLI.08 – Major Burns</w:t>
      </w:r>
    </w:p>
    <w:p w14:paraId="51C04ED2" w14:textId="77777777" w:rsidR="00CF1C9E" w:rsidRDefault="00CF1C9E">
      <w:pPr>
        <w:ind w:left="284"/>
        <w:rPr>
          <w:rFonts w:cs="Arial"/>
        </w:rPr>
      </w:pPr>
    </w:p>
    <w:p w14:paraId="599CB2EB" w14:textId="77777777" w:rsidR="00CF1C9E" w:rsidRDefault="00000000">
      <w:pPr>
        <w:pStyle w:val="ListParagraph"/>
        <w:numPr>
          <w:ilvl w:val="0"/>
          <w:numId w:val="5"/>
        </w:numPr>
        <w:spacing w:before="0" w:after="120"/>
        <w:ind w:left="715" w:hanging="431"/>
        <w:rPr>
          <w:rFonts w:cs="Arial"/>
          <w:b/>
          <w:sz w:val="28"/>
          <w:szCs w:val="24"/>
        </w:rPr>
      </w:pPr>
      <w:r>
        <w:rPr>
          <w:rFonts w:cs="Arial"/>
          <w:b/>
          <w:sz w:val="28"/>
          <w:szCs w:val="24"/>
        </w:rPr>
        <w:t>Introduction</w:t>
      </w:r>
    </w:p>
    <w:p w14:paraId="6B88B909" w14:textId="77777777" w:rsidR="00CF1C9E" w:rsidRDefault="00000000">
      <w:pPr>
        <w:tabs>
          <w:tab w:val="left" w:pos="142"/>
        </w:tabs>
        <w:suppressAutoHyphens/>
        <w:spacing w:after="120" w:line="276" w:lineRule="auto"/>
        <w:ind w:left="720"/>
        <w:contextualSpacing/>
        <w:jc w:val="both"/>
        <w:rPr>
          <w:rFonts w:cs="Arial"/>
        </w:rPr>
      </w:pPr>
      <w:r>
        <w:rPr>
          <w:rFonts w:cs="Arial"/>
        </w:rPr>
        <w:t>Major burns, whilst uncommon injuries, pose significant clinical challenges in the pre-hospital environment, as well as during inter-hospital retrievals. The NSW Burn Transfer Guidelines give specific criteria for consideration of medical inter-hospital retrieval following major burns.</w:t>
      </w:r>
      <w:r>
        <w:rPr>
          <w:rFonts w:cs="Arial"/>
          <w:vertAlign w:val="superscript"/>
        </w:rPr>
        <w:t>1</w:t>
      </w:r>
      <w:r>
        <w:rPr>
          <w:rFonts w:cs="Arial"/>
        </w:rPr>
        <w:t xml:space="preserve"> The NSW Insitute of Trauma and Injury Management (ITIM) App collates this current consensus practice and includes sanctioned algorithms, calculators, guidelines and other useful resources.</w:t>
      </w:r>
      <w:r>
        <w:rPr>
          <w:rFonts w:cs="Arial"/>
          <w:vertAlign w:val="superscript"/>
        </w:rPr>
        <w:t>2</w:t>
      </w:r>
    </w:p>
    <w:p w14:paraId="772F7C09" w14:textId="77777777" w:rsidR="00CF1C9E" w:rsidRDefault="00000000">
      <w:pPr>
        <w:pStyle w:val="ListParagraph"/>
        <w:numPr>
          <w:ilvl w:val="0"/>
          <w:numId w:val="5"/>
        </w:numPr>
        <w:spacing w:before="0" w:after="120"/>
        <w:ind w:left="715" w:hanging="431"/>
        <w:rPr>
          <w:rFonts w:cs="Arial"/>
          <w:b/>
          <w:sz w:val="28"/>
          <w:szCs w:val="24"/>
        </w:rPr>
      </w:pPr>
      <w:r>
        <w:rPr>
          <w:rFonts w:cs="Arial"/>
          <w:b/>
          <w:sz w:val="28"/>
          <w:szCs w:val="24"/>
        </w:rPr>
        <w:t>Purpose</w:t>
      </w:r>
    </w:p>
    <w:p w14:paraId="73B66984" w14:textId="77777777" w:rsidR="00CF1C9E" w:rsidRDefault="00000000">
      <w:pPr>
        <w:tabs>
          <w:tab w:val="left" w:pos="142"/>
        </w:tabs>
        <w:suppressAutoHyphens/>
        <w:spacing w:after="120" w:line="276" w:lineRule="auto"/>
        <w:ind w:left="720"/>
        <w:contextualSpacing/>
        <w:jc w:val="both"/>
        <w:rPr>
          <w:rFonts w:cs="Arial"/>
        </w:rPr>
      </w:pPr>
      <w:r>
        <w:rPr>
          <w:rFonts w:cs="Arial"/>
        </w:rPr>
        <w:t>The purpose of this procedure is to outline the pre-hospital and inter-hospital assessment and management of patients with major burns.</w:t>
      </w:r>
    </w:p>
    <w:p w14:paraId="37FADDB9" w14:textId="77777777" w:rsidR="00CF1C9E" w:rsidRDefault="00000000">
      <w:pPr>
        <w:pStyle w:val="ListParagraph"/>
        <w:numPr>
          <w:ilvl w:val="0"/>
          <w:numId w:val="5"/>
        </w:numPr>
        <w:spacing w:before="0" w:after="120"/>
        <w:ind w:left="715" w:hanging="431"/>
        <w:rPr>
          <w:rFonts w:cs="Arial"/>
          <w:b/>
          <w:sz w:val="28"/>
          <w:szCs w:val="24"/>
        </w:rPr>
      </w:pPr>
      <w:r>
        <w:rPr>
          <w:rFonts w:cs="Arial"/>
          <w:b/>
          <w:sz w:val="28"/>
          <w:szCs w:val="24"/>
        </w:rPr>
        <w:t>Procedure</w:t>
      </w:r>
    </w:p>
    <w:p w14:paraId="2E18C3EC"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Scene Safety</w:t>
      </w:r>
    </w:p>
    <w:p w14:paraId="0720F3AE"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 xml:space="preserve">In pre-hospital missions, </w:t>
      </w:r>
      <w:r>
        <w:rPr>
          <w:rFonts w:cs="Arial"/>
          <w:b/>
        </w:rPr>
        <w:t>ensure the scene is safe before you access the patient</w:t>
      </w:r>
      <w:r>
        <w:rPr>
          <w:rFonts w:cs="Arial"/>
        </w:rPr>
        <w:t>. If possible identify and directly communicate with the scene Fire Commander.</w:t>
      </w:r>
    </w:p>
    <w:p w14:paraId="1630FD81"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If immediate first aid has not being applied, then the burnt area should be immersed in cool running water. The ideal temperature is 15’C.</w:t>
      </w:r>
      <w:r>
        <w:rPr>
          <w:rFonts w:cs="Arial"/>
          <w:vertAlign w:val="superscript"/>
        </w:rPr>
        <w:t>1</w:t>
      </w:r>
      <w:r>
        <w:rPr>
          <w:rFonts w:cs="Arial"/>
        </w:rPr>
        <w:t xml:space="preserve"> Apply for 20 minutes, within the first three hours of injury.</w:t>
      </w:r>
      <w:r>
        <w:rPr>
          <w:rFonts w:cs="Arial"/>
          <w:vertAlign w:val="superscript"/>
        </w:rPr>
        <w:t>1</w:t>
      </w:r>
      <w:r>
        <w:rPr>
          <w:rFonts w:cs="Arial"/>
        </w:rPr>
        <w:t xml:space="preserve"> Most patients with large areas of major burns have already had vigorous first aid applied when we arrive and are shivering and at risk of hypothermia which must be prevented- </w:t>
      </w:r>
      <w:r>
        <w:rPr>
          <w:rFonts w:cs="Arial"/>
          <w:b/>
        </w:rPr>
        <w:t>Cool the burn and Warm the patient</w:t>
      </w:r>
      <w:r>
        <w:rPr>
          <w:rFonts w:cs="Arial"/>
        </w:rPr>
        <w:t>.</w:t>
      </w:r>
    </w:p>
    <w:p w14:paraId="707A068B"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Such patients should have wet dressings (including Hydrogel) removed and their injured skin protected from air currents and further injury. Polyethylene film, eg. GladWrap™ is the preferred dressing.</w:t>
      </w:r>
      <w:r>
        <w:rPr>
          <w:rFonts w:cs="Arial"/>
          <w:vertAlign w:val="superscript"/>
        </w:rPr>
        <w:t>1,3</w:t>
      </w:r>
    </w:p>
    <w:p w14:paraId="1459E3AE"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Keep the patient warm with active warming blanket and environmental heating where possible with all fluids warmed using the MEQU fluid warmer.</w:t>
      </w:r>
    </w:p>
    <w:p w14:paraId="57805450"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Assessment</w:t>
      </w:r>
    </w:p>
    <w:p w14:paraId="712F738D" w14:textId="77777777" w:rsidR="00CF1C9E" w:rsidRDefault="00000000">
      <w:pPr>
        <w:tabs>
          <w:tab w:val="left" w:pos="142"/>
        </w:tabs>
        <w:suppressAutoHyphens/>
        <w:spacing w:after="120" w:line="276" w:lineRule="auto"/>
        <w:ind w:left="720"/>
        <w:contextualSpacing/>
        <w:jc w:val="both"/>
        <w:rPr>
          <w:rFonts w:cs="Arial"/>
        </w:rPr>
      </w:pPr>
      <w:r>
        <w:rPr>
          <w:rFonts w:cs="Arial"/>
        </w:rPr>
        <w:t>Percentage of Burnt Surface Area (BSA) can be calculated using the “Wallace Rule of 9’s”, a Lund and Browder Chart, or using “palm of patient’s hand (including fingers) = 1%”.</w:t>
      </w:r>
      <w:r>
        <w:rPr>
          <w:rFonts w:cs="Arial"/>
          <w:vertAlign w:val="superscript"/>
        </w:rPr>
        <w:t>1,3</w:t>
      </w:r>
      <w:r>
        <w:rPr>
          <w:rFonts w:cs="Arial"/>
        </w:rPr>
        <w:t xml:space="preserve"> The NSW ITIM App has approved burn calculators to assist with injury assessment. </w:t>
      </w:r>
      <w:r>
        <w:rPr>
          <w:rFonts w:cs="Arial"/>
          <w:vertAlign w:val="superscript"/>
        </w:rPr>
        <w:t>2</w:t>
      </w:r>
      <w:r>
        <w:rPr>
          <w:rFonts w:cs="Arial"/>
        </w:rPr>
        <w:t xml:space="preserve"> Remember that superficial burns with erythema only are not included in these calculations.</w:t>
      </w:r>
      <w:r>
        <w:rPr>
          <w:rFonts w:cs="Arial"/>
          <w:vertAlign w:val="superscript"/>
        </w:rPr>
        <w:t>1 3</w:t>
      </w:r>
      <w:r>
        <w:rPr>
          <w:rFonts w:cs="Arial"/>
        </w:rPr>
        <w:t xml:space="preserve"> It is essential to log roll the patient to assess the entire body surface for burns.</w:t>
      </w:r>
    </w:p>
    <w:p w14:paraId="4470D70B"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Airway Burns</w:t>
      </w:r>
    </w:p>
    <w:p w14:paraId="37F68D59"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Airway burns can rapidly progress to airway obstruction and airways at risk after thermal injury should be anticipated and treated early.</w:t>
      </w:r>
      <w:r>
        <w:rPr>
          <w:rFonts w:cs="Arial"/>
          <w:vertAlign w:val="superscript"/>
        </w:rPr>
        <w:t>3</w:t>
      </w:r>
    </w:p>
    <w:p w14:paraId="08996CB2"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 xml:space="preserve">Inhalational injury is a serious consequence of major burns and is much more common </w:t>
      </w:r>
      <w:r>
        <w:rPr>
          <w:rFonts w:cs="Arial"/>
        </w:rPr>
        <w:lastRenderedPageBreak/>
        <w:t>when combustion or explosion occurs in enclosed spaces.</w:t>
      </w:r>
      <w:r>
        <w:rPr>
          <w:rFonts w:cs="Arial"/>
          <w:vertAlign w:val="superscript"/>
        </w:rPr>
        <w:t>5</w:t>
      </w:r>
    </w:p>
    <w:p w14:paraId="00EBA89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Clinical indicators suggesting upper airway thermal burn include:</w:t>
      </w:r>
      <w:r>
        <w:rPr>
          <w:rFonts w:cs="Arial"/>
          <w:vertAlign w:val="superscript"/>
        </w:rPr>
        <w:t>1,5,6</w:t>
      </w:r>
    </w:p>
    <w:p w14:paraId="6BAF0D48"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Head, facial and neck burns (especially full thickness) with increased swelling</w:t>
      </w:r>
    </w:p>
    <w:p w14:paraId="359D62FE"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Intraoral burns</w:t>
      </w:r>
    </w:p>
    <w:p w14:paraId="71EB7593"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dysphonia or stridor</w:t>
      </w:r>
    </w:p>
    <w:p w14:paraId="710A774B"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Indicators suggestive of inhalational injury:</w:t>
      </w:r>
      <w:r>
        <w:rPr>
          <w:rFonts w:cs="Arial"/>
          <w:vertAlign w:val="superscript"/>
        </w:rPr>
        <w:t>1,5</w:t>
      </w:r>
    </w:p>
    <w:p w14:paraId="398F71DB"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Mechanism- confined area explosion/combustion</w:t>
      </w:r>
    </w:p>
    <w:p w14:paraId="4F0FB0E7"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carbonaceous sputum</w:t>
      </w:r>
    </w:p>
    <w:p w14:paraId="28027FA9"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respiratory distress</w:t>
      </w:r>
    </w:p>
    <w:p w14:paraId="02E845E6" w14:textId="77777777" w:rsidR="00CF1C9E" w:rsidRDefault="00000000">
      <w:pPr>
        <w:pStyle w:val="ListParagraph"/>
        <w:widowControl w:val="0"/>
        <w:numPr>
          <w:ilvl w:val="1"/>
          <w:numId w:val="13"/>
        </w:numPr>
        <w:autoSpaceDE w:val="0"/>
        <w:autoSpaceDN w:val="0"/>
        <w:adjustRightInd w:val="0"/>
        <w:spacing w:before="0" w:after="60" w:line="276" w:lineRule="auto"/>
        <w:ind w:left="2381" w:hanging="357"/>
        <w:jc w:val="both"/>
        <w:rPr>
          <w:rFonts w:cs="Arial"/>
          <w:bCs/>
        </w:rPr>
      </w:pPr>
      <w:r>
        <w:rPr>
          <w:rFonts w:cs="Arial"/>
        </w:rPr>
        <w:t>hypoxia.</w:t>
      </w:r>
    </w:p>
    <w:p w14:paraId="23CE3151"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Always consider concomitant trauma particularly following explosions, electrical injuries or falls from height.</w:t>
      </w:r>
    </w:p>
    <w:p w14:paraId="3846C313"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Consider inhalational asphyxiants such as carbon monoxide or cyanide poisoning in patients with unexplained coma or shock, especially with normal SpO2.</w:t>
      </w:r>
    </w:p>
    <w:p w14:paraId="0DB687CC"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Indications for Intubation</w:t>
      </w:r>
    </w:p>
    <w:p w14:paraId="2E84530F"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Signs or symptoms suggesting thermal burn to airway.</w:t>
      </w:r>
    </w:p>
    <w:p w14:paraId="257337E6"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Signs or symptoms suggesting inhalational injury.</w:t>
      </w:r>
    </w:p>
    <w:p w14:paraId="5034370A"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Agitated, combative or patients with decreased level of consciousness.</w:t>
      </w:r>
    </w:p>
    <w:p w14:paraId="7E305538"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Major burns (40%) on humanitarian grounds.</w:t>
      </w:r>
    </w:p>
    <w:p w14:paraId="1F423657"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Decision making should take into account the time/distance required for transfer as well as the volume of intravenous fluids administered prior to the arrival of the team.</w:t>
      </w:r>
    </w:p>
    <w:p w14:paraId="4A2B57C9"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Management</w:t>
      </w:r>
    </w:p>
    <w:p w14:paraId="7BD38BFD"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Dressings:</w:t>
      </w:r>
    </w:p>
    <w:p w14:paraId="7DAE5E2B"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Polyethylene film is the ideal out-of-hospital burns dressing for major burns involving large areas as it protects the skin, reduces pain due to air currents, reduces fluid loss and allows repeated wound inspection.</w:t>
      </w:r>
      <w:r>
        <w:rPr>
          <w:rFonts w:cs="Arial"/>
          <w:vertAlign w:val="superscript"/>
        </w:rPr>
        <w:t>1,4</w:t>
      </w:r>
      <w:r>
        <w:rPr>
          <w:rFonts w:cs="Arial"/>
        </w:rPr>
        <w:t xml:space="preserve"> Avoid circumferential dressing.</w:t>
      </w:r>
      <w:r>
        <w:rPr>
          <w:rFonts w:cs="Arial"/>
          <w:vertAlign w:val="superscript"/>
        </w:rPr>
        <w:t>1</w:t>
      </w:r>
    </w:p>
    <w:p w14:paraId="255FA22A"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Hydrogel dressings are appropriate for small areas only and should be avoided in major burn patients.</w:t>
      </w:r>
    </w:p>
    <w:p w14:paraId="60DCF98D"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Soft paraffin is an alternative dressing for facial burns.</w:t>
      </w:r>
      <w:r>
        <w:rPr>
          <w:rFonts w:cs="Arial"/>
          <w:vertAlign w:val="superscript"/>
        </w:rPr>
        <w:t>1</w:t>
      </w:r>
      <w:r>
        <w:rPr>
          <w:rFonts w:cs="Arial"/>
        </w:rPr>
        <w:t xml:space="preserve"> For practical purposes apply paraffin after airway interventions are completed.</w:t>
      </w:r>
    </w:p>
    <w:p w14:paraId="185E7D54"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Analgesia</w:t>
      </w:r>
    </w:p>
    <w:p w14:paraId="7BFAB097"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Intravenous (IV) access through burnt skin can be difficult. Consider early intra-osseous (IO) access.</w:t>
      </w:r>
    </w:p>
    <w:p w14:paraId="5B55901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Despite severe and life-threatening injuries most patients with major burns are fully alert and conscious. Adequate analgesia and/or sedation is mandatory.</w:t>
      </w:r>
    </w:p>
    <w:p w14:paraId="7C855FF3"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lastRenderedPageBreak/>
        <w:t>Intranasal fentanyl and intramuscular/intranasal ketamine may be useful adjuncts before obtaining intravascular or intrasosseous access.</w:t>
      </w:r>
    </w:p>
    <w:p w14:paraId="23BEE3D1"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Once IV/IO access is obtained, analgesia is best facilitated by a combination of IV opioids (fentanyl/morphine) with ketamine</w:t>
      </w:r>
      <w:r>
        <w:rPr>
          <w:rFonts w:cs="Arial"/>
          <w:vertAlign w:val="superscript"/>
        </w:rPr>
        <w:t>7</w:t>
      </w:r>
      <w:r>
        <w:rPr>
          <w:rFonts w:cs="Arial"/>
        </w:rPr>
        <w:t xml:space="preserve"> in small titrated boluses.</w:t>
      </w:r>
    </w:p>
    <w:p w14:paraId="6D368A30"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Large doses of these agents may be needed, and an infusion is usually the best way to provide a steady level of analgesia. The intubated, paralysed patient must be carefully and serially examined for signs of pain and awareness (lacrimation, pupillary mydriasis, tachycardia or hypertension).</w:t>
      </w:r>
      <w:r>
        <w:rPr>
          <w:rFonts w:cs="Arial"/>
          <w:vertAlign w:val="superscript"/>
        </w:rPr>
        <w:t>7</w:t>
      </w:r>
    </w:p>
    <w:p w14:paraId="6060354B"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RSI</w:t>
      </w:r>
    </w:p>
    <w:p w14:paraId="65E960C6"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If signs of an airway thermal injury or inhalation injury suggest the need for rapid sequence intubation then this should be done early, before anatomical distortion makes orotracheal intubation difficult or impossible.</w:t>
      </w:r>
      <w:r>
        <w:rPr>
          <w:rFonts w:cs="Arial"/>
          <w:vertAlign w:val="superscript"/>
        </w:rPr>
        <w:t>4</w:t>
      </w:r>
    </w:p>
    <w:p w14:paraId="453286AA"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Provided that there is no mechanism of injury to suggest trauma, consider pre-oxygenation with the patient sitting up and using a pillow or folded towel to raise the occiput.</w:t>
      </w:r>
    </w:p>
    <w:p w14:paraId="3E64EF77"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The largest tracheal tube possible should be inserted to facilitate pulmonary toileting in ICU.</w:t>
      </w:r>
      <w:r>
        <w:rPr>
          <w:rFonts w:cs="Arial"/>
          <w:vertAlign w:val="superscript"/>
        </w:rPr>
        <w:t>4</w:t>
      </w:r>
      <w:r>
        <w:rPr>
          <w:rFonts w:cs="Arial"/>
        </w:rPr>
        <w:t xml:space="preserve"> (Smaller ETT’s however should be readily available in case of difficulty with RSI).</w:t>
      </w:r>
    </w:p>
    <w:p w14:paraId="41437B8D"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Preparation for a difficult airway should be thorough and include preparation for a surgical airway. In full thickness burns, limiting neck movement or mouth opening then a primary surgical airway may be considered as the primary means of securing the airway.</w:t>
      </w:r>
    </w:p>
    <w:p w14:paraId="54E7A976"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Escharotomy</w:t>
      </w:r>
    </w:p>
    <w:p w14:paraId="565CFA8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Escharotomy involves incision of inelastic burned tissue (eschar) that can impair perfusion of the extremities, as well as restrict chest wall movement and ventilation.</w:t>
      </w:r>
    </w:p>
    <w:p w14:paraId="48039450"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Escharotomies may be necessary on patients with circumferential full thickness (or near circumferential full thickness) burns to the chest, neck, limbs or digits.</w:t>
      </w:r>
      <w:r>
        <w:rPr>
          <w:rFonts w:cs="Arial"/>
          <w:vertAlign w:val="superscript"/>
        </w:rPr>
        <w:t>8</w:t>
      </w:r>
    </w:p>
    <w:p w14:paraId="4C5D8C4A" w14:textId="3DCA2F4B"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 xml:space="preserve">As to whether escharotomies should be perfomed by the HEMS physician, in the prehospital setting, the Duty Retrieval Consultant (DRC) should be contacted to assist in decision-making. </w:t>
      </w:r>
      <w:r w:rsidR="000E2C72">
        <w:rPr>
          <w:rFonts w:cs="Arial"/>
        </w:rPr>
        <w:t xml:space="preserve">All limb </w:t>
      </w:r>
      <w:proofErr w:type="spellStart"/>
      <w:r w:rsidR="000E2C72">
        <w:rPr>
          <w:rFonts w:cs="Arial"/>
        </w:rPr>
        <w:t>escharatomy</w:t>
      </w:r>
      <w:proofErr w:type="spellEnd"/>
      <w:r w:rsidR="000E2C72">
        <w:rPr>
          <w:rFonts w:cs="Arial"/>
        </w:rPr>
        <w:t xml:space="preserve"> decision-making should be shared with the NSW Statewide Burns Service via the ACC. </w:t>
      </w:r>
      <w:r>
        <w:rPr>
          <w:rFonts w:cs="Arial"/>
        </w:rPr>
        <w:t>Other aspects of the critical care of these patients can also be discussed during this call.</w:t>
      </w:r>
    </w:p>
    <w:p w14:paraId="3BDBDACF" w14:textId="61E8DBCA"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b/>
        </w:rPr>
        <w:t>Limb escharotomy</w:t>
      </w:r>
      <w:r>
        <w:rPr>
          <w:rFonts w:cs="Arial"/>
        </w:rPr>
        <w:t xml:space="preserve"> is rarely necessary within four (4) to six (6) hours following a burn injury regardless of the severity of burn injury.</w:t>
      </w:r>
      <w:r>
        <w:rPr>
          <w:rFonts w:cs="Arial"/>
          <w:vertAlign w:val="superscript"/>
        </w:rPr>
        <w:t>8</w:t>
      </w:r>
      <w:r>
        <w:rPr>
          <w:rFonts w:cs="Arial"/>
        </w:rPr>
        <w:t xml:space="preserve"> They should be performed when distal perfusion is impaired or threatened due to circumferential full thickness (or near circumferential full thickness) burns unresponsive to simple elevation. If needed, incisions should be made laterally avoiding neurovascular bundles and be deep enough to release the tissues (Appendix 1).</w:t>
      </w:r>
      <w:r w:rsidR="000E2C72">
        <w:rPr>
          <w:rFonts w:cs="Arial"/>
        </w:rPr>
        <w:t xml:space="preserve"> Again, a conference call with the NSW </w:t>
      </w:r>
      <w:r w:rsidR="000E2C72">
        <w:rPr>
          <w:rFonts w:cs="Arial"/>
        </w:rPr>
        <w:lastRenderedPageBreak/>
        <w:t>Statewide Burns Service is essential before all limb escharotomies</w:t>
      </w:r>
    </w:p>
    <w:p w14:paraId="7C660E90" w14:textId="6C20B253"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b/>
        </w:rPr>
        <w:t>Chest Escharotomy</w:t>
      </w:r>
      <w:r>
        <w:rPr>
          <w:rFonts w:cs="Arial"/>
        </w:rPr>
        <w:t xml:space="preserve"> </w:t>
      </w:r>
      <w:r w:rsidR="000E2C72">
        <w:rPr>
          <w:rFonts w:cs="Arial"/>
        </w:rPr>
        <w:t>may be</w:t>
      </w:r>
      <w:r>
        <w:rPr>
          <w:rFonts w:cs="Arial"/>
        </w:rPr>
        <w:t xml:space="preserve"> more time critical and should be performed when there is difficulty ventilating the patient with full thickness chest or upper abdominal wall burns. It should be performed in the midclavicular or anterior axillary line as well as midline longitudinally and joined with horizontal incisions to allow adequate chest excursion (Appendix 1).</w:t>
      </w:r>
    </w:p>
    <w:p w14:paraId="7249A292"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The incisions must be deep enough to “release” burnt tissue – this usually means a deep enough incision to reach fat. Bleeding is a common consequence of effective escharotomy.</w:t>
      </w:r>
    </w:p>
    <w:p w14:paraId="0DEEA969"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There is no role for prophylactic antibiotics or steroids.</w:t>
      </w:r>
      <w:r>
        <w:rPr>
          <w:rFonts w:cs="Arial"/>
          <w:vertAlign w:val="superscript"/>
        </w:rPr>
        <w:t>9</w:t>
      </w:r>
    </w:p>
    <w:p w14:paraId="17E5EA0D"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Performing Escharotomy</w:t>
      </w:r>
      <w:r>
        <w:rPr>
          <w:rFonts w:cs="Arial"/>
          <w:b/>
          <w:vertAlign w:val="superscript"/>
        </w:rPr>
        <w:t>10</w:t>
      </w:r>
    </w:p>
    <w:p w14:paraId="6A50C472"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Preparation and planning</w:t>
      </w:r>
    </w:p>
    <w:p w14:paraId="378D2D72"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Assess patient thoroughly to ensure indications are met.</w:t>
      </w:r>
    </w:p>
    <w:p w14:paraId="3E1534B2" w14:textId="7DB7A100"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Prehospital mission: call DRC to share decision-making</w:t>
      </w:r>
      <w:r w:rsidR="000E2C72">
        <w:rPr>
          <w:rFonts w:cs="Arial"/>
        </w:rPr>
        <w:t xml:space="preserve"> +/- Statewide Burns Service</w:t>
      </w:r>
    </w:p>
    <w:p w14:paraId="4E93790A"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Interhospital mission: call receiving Burns Centre via ACC.</w:t>
      </w:r>
    </w:p>
    <w:p w14:paraId="0A974F73"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Ensure suitable PPE and plan ahead for fluid containment and dressings eg Kaltostat.</w:t>
      </w:r>
    </w:p>
    <w:p w14:paraId="69CFA7F2"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Procedure:</w:t>
      </w:r>
    </w:p>
    <w:p w14:paraId="5E6ADF74"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Ensure limb is in anatomical position (forearm supinated).</w:t>
      </w:r>
    </w:p>
    <w:p w14:paraId="450B5E99"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Draw a line where the incision will be made as per diagram in Appendix 1.</w:t>
      </w:r>
      <w:r>
        <w:rPr>
          <w:rFonts w:cs="Arial"/>
          <w:vertAlign w:val="superscript"/>
        </w:rPr>
        <w:t>10</w:t>
      </w:r>
      <w:r>
        <w:rPr>
          <w:rFonts w:cs="Arial"/>
        </w:rPr>
        <w:t>.</w:t>
      </w:r>
    </w:p>
    <w:p w14:paraId="6038FE47"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Prepare area with chlorhexadine or non-alcoholic Betadine™.</w:t>
      </w:r>
    </w:p>
    <w:p w14:paraId="057FDCD0"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Cut using scalpel (or diathermy) along lines as above</w:t>
      </w:r>
    </w:p>
    <w:p w14:paraId="1546C413"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For limbs release both medial and lateral sides.</w:t>
      </w:r>
    </w:p>
    <w:p w14:paraId="56DCBC5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For chest release bilateral mid axillary lines and inferior transverse elliptical below costal margin joining vertical incisions.</w:t>
      </w:r>
    </w:p>
    <w:p w14:paraId="6D31E1E4"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Re-assess post procedure: ventilation for chest distal perfusion for limb escharotomy.</w:t>
      </w:r>
    </w:p>
    <w:p w14:paraId="2DB3DFF1"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Cautions:</w:t>
      </w:r>
    </w:p>
    <w:p w14:paraId="68A2DA9E"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Identify and avoid important structures, ie. ulnar nerve and common peroneal nerve; and neuroavasular bundle of the digits (which run both ulnar and radial side of fingers on the palmar surface side upper third of finger when palm up).</w:t>
      </w:r>
    </w:p>
    <w:p w14:paraId="4AA9D6D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 xml:space="preserve">Ensure incision is skin deep seeing only fat in the base of wound (not muscle, it is </w:t>
      </w:r>
      <w:r>
        <w:rPr>
          <w:rFonts w:cs="Arial"/>
          <w:i/>
        </w:rPr>
        <w:t>not</w:t>
      </w:r>
      <w:r>
        <w:rPr>
          <w:rFonts w:cs="Arial"/>
        </w:rPr>
        <w:t xml:space="preserve"> a fasciotomy).</w:t>
      </w:r>
    </w:p>
    <w:p w14:paraId="70A397BF"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Ensure adequacy of release by running finger along wound and determine that there are no residual tight bands of tissue.</w:t>
      </w:r>
    </w:p>
    <w:p w14:paraId="4F016994"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Extend the escharotomy above and below the burn into healthy unburnt skin where possible. Use local anaestheic for the unburned skin</w:t>
      </w:r>
    </w:p>
    <w:p w14:paraId="043C41E3"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 xml:space="preserve">If available, dress the wound with and alginate type dressing eg Algisite™ or </w:t>
      </w:r>
      <w:r>
        <w:rPr>
          <w:rFonts w:cs="Arial"/>
        </w:rPr>
        <w:lastRenderedPageBreak/>
        <w:t>Kaltostat™.</w:t>
      </w:r>
    </w:p>
    <w:p w14:paraId="16B86341" w14:textId="77777777" w:rsidR="00CF1C9E"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Fluid Resuscitation</w:t>
      </w:r>
    </w:p>
    <w:p w14:paraId="3AC47A86"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Pre-hospital:</w:t>
      </w:r>
    </w:p>
    <w:p w14:paraId="1E9D2C37" w14:textId="77777777" w:rsidR="00CF1C9E" w:rsidRDefault="00000000">
      <w:pPr>
        <w:tabs>
          <w:tab w:val="left" w:pos="142"/>
        </w:tabs>
        <w:suppressAutoHyphens/>
        <w:spacing w:after="120" w:line="276" w:lineRule="auto"/>
        <w:ind w:left="1985"/>
        <w:contextualSpacing/>
        <w:jc w:val="both"/>
        <w:rPr>
          <w:rFonts w:cs="Arial"/>
        </w:rPr>
      </w:pPr>
      <w:r>
        <w:rPr>
          <w:rFonts w:cs="Arial"/>
        </w:rPr>
        <w:t>If burn &gt;20% BSA (adults) or 10% BSA (children), then initiate fluid therapy pre-hospital</w:t>
      </w:r>
      <w:r>
        <w:rPr>
          <w:rFonts w:cs="Arial"/>
          <w:vertAlign w:val="superscript"/>
        </w:rPr>
        <w:t>1</w:t>
      </w:r>
      <w:r>
        <w:rPr>
          <w:rFonts w:cs="Arial"/>
        </w:rPr>
        <w:t>. Shock (due to a combination of fluid shifts, systemic inflammatory response and impaired cardiac output) peaks at about 12 hours. Over-resuscitation should be avoided until definitive airway management but there-after the Modified Parkland Formula provides good estimate of fluid needs</w:t>
      </w:r>
      <w:r>
        <w:rPr>
          <w:rFonts w:cs="Arial"/>
          <w:vertAlign w:val="superscript"/>
        </w:rPr>
        <w:t>11</w:t>
      </w:r>
    </w:p>
    <w:p w14:paraId="0EB6030A" w14:textId="77777777" w:rsidR="00CF1C9E" w:rsidRDefault="00000000">
      <w:pPr>
        <w:pStyle w:val="ListParagraph"/>
        <w:numPr>
          <w:ilvl w:val="2"/>
          <w:numId w:val="5"/>
        </w:numPr>
        <w:tabs>
          <w:tab w:val="left" w:pos="142"/>
        </w:tabs>
        <w:suppressAutoHyphens/>
        <w:spacing w:before="60" w:after="60" w:line="276" w:lineRule="auto"/>
        <w:ind w:left="1985" w:hanging="655"/>
        <w:jc w:val="both"/>
        <w:rPr>
          <w:rFonts w:cs="Arial"/>
          <w:b/>
        </w:rPr>
      </w:pPr>
      <w:r>
        <w:rPr>
          <w:rFonts w:cs="Arial"/>
          <w:b/>
        </w:rPr>
        <w:t>Inter-hospital:</w:t>
      </w:r>
    </w:p>
    <w:p w14:paraId="779F4DED" w14:textId="77777777" w:rsidR="00CF1C9E" w:rsidRDefault="00000000">
      <w:pPr>
        <w:tabs>
          <w:tab w:val="left" w:pos="142"/>
        </w:tabs>
        <w:suppressAutoHyphens/>
        <w:spacing w:after="120" w:line="276" w:lineRule="auto"/>
        <w:ind w:left="1985"/>
        <w:contextualSpacing/>
        <w:jc w:val="both"/>
        <w:rPr>
          <w:rFonts w:cs="Arial"/>
        </w:rPr>
      </w:pPr>
      <w:r>
        <w:rPr>
          <w:rFonts w:cs="Arial"/>
        </w:rPr>
        <w:t>If burn &gt;20% BSA (adults) or 10% BSA (children), then initiate fluid therapy using the Modified Parkland Formula (3mL/kg X %BSA burned, over 24 hours with half given in first eight (8) hours using Ringer’s Lactate/Hartman’s solution). This is in addition to normal maintenance requirements.</w:t>
      </w:r>
      <w:r>
        <w:rPr>
          <w:rFonts w:cs="Arial"/>
          <w:vertAlign w:val="superscript"/>
        </w:rPr>
        <w:t>1</w:t>
      </w:r>
    </w:p>
    <w:p w14:paraId="357D7F40" w14:textId="77777777" w:rsidR="00CF1C9E" w:rsidRDefault="00000000">
      <w:pPr>
        <w:tabs>
          <w:tab w:val="left" w:pos="142"/>
        </w:tabs>
        <w:suppressAutoHyphens/>
        <w:spacing w:after="120" w:line="276" w:lineRule="auto"/>
        <w:ind w:left="1985"/>
        <w:contextualSpacing/>
        <w:jc w:val="both"/>
        <w:rPr>
          <w:rFonts w:cs="Arial"/>
        </w:rPr>
      </w:pPr>
      <w:r>
        <w:rPr>
          <w:rFonts w:cs="Arial"/>
        </w:rPr>
        <w:t>Individual patient’s fluid needs can vary greatly and a useful end point to aim for is a stabilization of deteriorating vital signs and an hourly urine output of &gt;0.5mL/kg/hr in adults (&gt; 1.0mL/kg/hr in paediatric patients).</w:t>
      </w:r>
      <w:r>
        <w:rPr>
          <w:rFonts w:cs="Arial"/>
          <w:vertAlign w:val="superscript"/>
        </w:rPr>
        <w:t>1 4 11</w:t>
      </w:r>
    </w:p>
    <w:p w14:paraId="2A87815C" w14:textId="77777777" w:rsidR="00CF1C9E" w:rsidRDefault="00000000">
      <w:pPr>
        <w:pStyle w:val="ListParagraph"/>
        <w:numPr>
          <w:ilvl w:val="0"/>
          <w:numId w:val="5"/>
        </w:numPr>
        <w:spacing w:before="0" w:after="120"/>
        <w:ind w:left="715" w:hanging="431"/>
        <w:rPr>
          <w:rFonts w:cs="Arial"/>
          <w:b/>
          <w:sz w:val="28"/>
          <w:szCs w:val="24"/>
        </w:rPr>
      </w:pPr>
      <w:r>
        <w:rPr>
          <w:rFonts w:cs="Arial"/>
          <w:b/>
          <w:sz w:val="28"/>
          <w:szCs w:val="24"/>
        </w:rPr>
        <w:t>Disposition</w:t>
      </w:r>
    </w:p>
    <w:p w14:paraId="2B7A685C"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As noted in HELI.CLI.13 - Pre-Hospital Trauma Triage, patients with major burns should be triaged to one of the two adult burns centres – Royal North Shore Hospital (RNSH) or Concord Hospital. If the patient has a mechanism of injury suggestive of any trauma, then they should be primarily transported to RNSH.</w:t>
      </w:r>
    </w:p>
    <w:p w14:paraId="12026545" w14:textId="77777777" w:rsidR="00CF1C9E"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Paediatric (&lt;16yo) major burns should be transported to The Children’s Hospital at Westmead.</w:t>
      </w:r>
    </w:p>
    <w:p w14:paraId="00F3C55D" w14:textId="77777777" w:rsidR="00CF1C9E" w:rsidRDefault="00000000">
      <w:pPr>
        <w:pStyle w:val="ListParagraph"/>
        <w:numPr>
          <w:ilvl w:val="0"/>
          <w:numId w:val="5"/>
        </w:numPr>
        <w:spacing w:before="0" w:after="120"/>
        <w:ind w:left="715" w:hanging="431"/>
        <w:rPr>
          <w:rFonts w:cs="Arial"/>
          <w:b/>
          <w:sz w:val="28"/>
          <w:szCs w:val="24"/>
        </w:rPr>
      </w:pPr>
      <w:r>
        <w:rPr>
          <w:rFonts w:cs="Arial"/>
          <w:b/>
          <w:sz w:val="28"/>
          <w:szCs w:val="24"/>
        </w:rPr>
        <w:t>References</w:t>
      </w:r>
    </w:p>
    <w:p w14:paraId="22E7243A" w14:textId="77777777" w:rsidR="00CF1C9E" w:rsidRDefault="00000000">
      <w:pPr>
        <w:spacing w:before="40" w:after="40" w:line="276" w:lineRule="auto"/>
        <w:ind w:left="1134" w:hanging="425"/>
      </w:pPr>
      <w:r>
        <w:rPr>
          <w:rFonts w:cs="Arial"/>
        </w:rPr>
        <w:t>1.</w:t>
      </w:r>
      <w:r>
        <w:rPr>
          <w:rFonts w:cs="Arial"/>
        </w:rPr>
        <w:tab/>
        <w:t>NSW Burn Transfer Guidelines - Statewide Burn Injury Service – 4th Edition. Version: 2. Trim: ACI/D17/4419. Date Amended: May 2022. Next Review: 2025. ACI_5875 [05/22].</w:t>
      </w:r>
    </w:p>
    <w:p w14:paraId="18659BB1" w14:textId="77777777" w:rsidR="00CF1C9E" w:rsidRDefault="00000000">
      <w:pPr>
        <w:spacing w:before="40" w:after="40" w:line="276" w:lineRule="auto"/>
        <w:ind w:left="1134" w:hanging="425"/>
      </w:pPr>
      <w:r>
        <w:rPr>
          <w:rFonts w:cs="Arial"/>
        </w:rPr>
        <w:t>2.</w:t>
      </w:r>
      <w:r>
        <w:rPr>
          <w:rFonts w:cs="Arial"/>
        </w:rPr>
        <w:tab/>
        <w:t>NSW Institute of Trauma and Injury Management (ITIM) App</w:t>
      </w:r>
    </w:p>
    <w:p w14:paraId="0D129362" w14:textId="77777777" w:rsidR="00CF1C9E" w:rsidRDefault="00000000">
      <w:pPr>
        <w:spacing w:before="40" w:after="40" w:line="276" w:lineRule="auto"/>
        <w:ind w:left="1134" w:hanging="425"/>
      </w:pPr>
      <w:r>
        <w:rPr>
          <w:rFonts w:cs="Arial"/>
        </w:rPr>
        <w:t>3.</w:t>
      </w:r>
      <w:r>
        <w:rPr>
          <w:rFonts w:cs="Arial"/>
        </w:rPr>
        <w:tab/>
        <w:t>Hettiaratchy H. Initial management of a major burn: I–overview. BMJ 2004;328:1555- 1557.</w:t>
      </w:r>
    </w:p>
    <w:p w14:paraId="1CACC9AB" w14:textId="77777777" w:rsidR="00CF1C9E" w:rsidRDefault="00000000">
      <w:pPr>
        <w:spacing w:before="40" w:after="40" w:line="276" w:lineRule="auto"/>
        <w:ind w:left="1134" w:hanging="425"/>
      </w:pPr>
      <w:r>
        <w:rPr>
          <w:rFonts w:cs="Arial"/>
        </w:rPr>
        <w:t>4.</w:t>
      </w:r>
      <w:r>
        <w:rPr>
          <w:rFonts w:cs="Arial"/>
        </w:rPr>
        <w:tab/>
        <w:t>Hettiaratchy H. Initial management of a major burn: II–assessment and resuscitation. BMJ 2004; 329(7457): 101–103.</w:t>
      </w:r>
    </w:p>
    <w:p w14:paraId="2BC163A6" w14:textId="77777777" w:rsidR="00CF1C9E" w:rsidRDefault="00000000">
      <w:pPr>
        <w:spacing w:before="40" w:after="40" w:line="276" w:lineRule="auto"/>
        <w:ind w:left="1134" w:hanging="425"/>
      </w:pPr>
      <w:r>
        <w:rPr>
          <w:rFonts w:cs="Arial"/>
        </w:rPr>
        <w:t>5.</w:t>
      </w:r>
      <w:r>
        <w:rPr>
          <w:rFonts w:cs="Arial"/>
        </w:rPr>
        <w:tab/>
        <w:t>Endorf, F, Gamelli R. Inhalation Injury, Pulmonary Perturbations, and Fluid Resuscitation. J Burn Care Res 2007;28:80–83.</w:t>
      </w:r>
    </w:p>
    <w:p w14:paraId="3518B42E" w14:textId="77777777" w:rsidR="00CF1C9E" w:rsidRDefault="00000000">
      <w:pPr>
        <w:spacing w:before="40" w:after="40" w:line="276" w:lineRule="auto"/>
        <w:ind w:left="1134" w:hanging="425"/>
      </w:pPr>
      <w:r>
        <w:rPr>
          <w:rFonts w:cs="Arial"/>
        </w:rPr>
        <w:t>6.</w:t>
      </w:r>
      <w:r>
        <w:rPr>
          <w:rFonts w:cs="Arial"/>
        </w:rPr>
        <w:tab/>
        <w:t>Haponik EF, Meyers DA, Munster AM, Smith PL, Britt EJ, Wise RA, Bleecker ER. Acute upper airway injury in burn patients. Serial changes of flow-volume curves and nasopharyngoscopy. Am Rev Respir Dis. Am 1987 Feb;135(2):360-6.</w:t>
      </w:r>
    </w:p>
    <w:p w14:paraId="0FC514E1" w14:textId="77777777" w:rsidR="00CF1C9E" w:rsidRDefault="00000000">
      <w:pPr>
        <w:spacing w:before="40" w:after="40" w:line="276" w:lineRule="auto"/>
        <w:ind w:left="1134" w:hanging="425"/>
      </w:pPr>
      <w:r>
        <w:rPr>
          <w:rFonts w:cs="Arial"/>
        </w:rPr>
        <w:t>7.</w:t>
      </w:r>
      <w:r>
        <w:rPr>
          <w:rFonts w:cs="Arial"/>
        </w:rPr>
        <w:tab/>
        <w:t>Mehmet C. Ketamine May Be the First Choice for Anesthesia in Burn Patients J Burn Care Res 2006 27 (5): 760-2.</w:t>
      </w:r>
    </w:p>
    <w:p w14:paraId="16BEB480" w14:textId="77777777" w:rsidR="00CF1C9E" w:rsidRDefault="00000000">
      <w:pPr>
        <w:spacing w:before="40" w:after="40" w:line="276" w:lineRule="auto"/>
        <w:ind w:left="1134" w:hanging="425"/>
      </w:pPr>
      <w:r>
        <w:rPr>
          <w:rFonts w:cs="Arial"/>
        </w:rPr>
        <w:lastRenderedPageBreak/>
        <w:t>8.</w:t>
      </w:r>
      <w:r>
        <w:rPr>
          <w:rFonts w:cs="Arial"/>
        </w:rPr>
        <w:tab/>
        <w:t>Orgill D, Piccolo N. Escharotomy and Decompressive Therapies in Burns. J Burn Care Res 2009;30:759–768.</w:t>
      </w:r>
    </w:p>
    <w:p w14:paraId="2D1F4989" w14:textId="77777777" w:rsidR="00CF1C9E" w:rsidRDefault="00000000">
      <w:pPr>
        <w:spacing w:before="40" w:after="40" w:line="276" w:lineRule="auto"/>
        <w:ind w:left="1134" w:hanging="425"/>
      </w:pPr>
      <w:r>
        <w:rPr>
          <w:rFonts w:cs="Arial"/>
        </w:rPr>
        <w:t>9.</w:t>
      </w:r>
      <w:r>
        <w:rPr>
          <w:rFonts w:cs="Arial"/>
        </w:rPr>
        <w:tab/>
        <w:t>Tomer A, Levcovich A, D Ad-El D,Leibovici L, Paul M. Prophylactic antibiotics for burns patients: systematic review and meta-analysis. BMJ 2010 340: c241.</w:t>
      </w:r>
    </w:p>
    <w:p w14:paraId="2454E35A" w14:textId="77777777" w:rsidR="00CF1C9E" w:rsidRDefault="00000000">
      <w:pPr>
        <w:spacing w:before="40" w:after="40" w:line="276" w:lineRule="auto"/>
        <w:ind w:left="1134" w:hanging="425"/>
      </w:pPr>
      <w:r>
        <w:rPr>
          <w:rFonts w:cs="Arial"/>
        </w:rPr>
        <w:t>10.</w:t>
      </w:r>
      <w:r>
        <w:rPr>
          <w:rFonts w:cs="Arial"/>
        </w:rPr>
        <w:tab/>
        <w:t>Escharotomy for Burns Patients – Statewide Burn Injury Service – 2nd Edition. Version: V2.0. Date Amended: June 2019. Next review: 2024. Trim: ACI/D19/1969 ACI_0265 [07/19].</w:t>
      </w:r>
    </w:p>
    <w:p w14:paraId="67A2B5F8" w14:textId="77777777" w:rsidR="00CF1C9E" w:rsidRDefault="00000000">
      <w:pPr>
        <w:spacing w:before="40" w:after="40" w:line="276" w:lineRule="auto"/>
        <w:ind w:left="1134" w:hanging="425"/>
      </w:pPr>
      <w:r>
        <w:rPr>
          <w:rFonts w:cs="Arial"/>
        </w:rPr>
        <w:t>11.</w:t>
      </w:r>
      <w:r>
        <w:rPr>
          <w:rFonts w:cs="Arial"/>
        </w:rPr>
        <w:tab/>
        <w:t>Saffle J.The Phenomenon of “Fluid Creep” in Acute Burn Resuscitation. J Burn Care Res 2007;28:382–395.</w:t>
      </w:r>
    </w:p>
    <w:p w14:paraId="682BCB1D" w14:textId="77777777" w:rsidR="00CF1C9E" w:rsidRDefault="00CF1C9E">
      <w:pPr>
        <w:rPr>
          <w:rFonts w:cs="Arial"/>
        </w:rPr>
      </w:pPr>
    </w:p>
    <w:p w14:paraId="731BFBC9" w14:textId="77777777" w:rsidR="00CF1C9E" w:rsidRDefault="00000000">
      <w:pPr>
        <w:ind w:left="284"/>
        <w:rPr>
          <w:rFonts w:cs="Arial"/>
          <w:b/>
        </w:rPr>
      </w:pPr>
      <w:r>
        <w:rPr>
          <w:rFonts w:cs="Arial"/>
          <w:b/>
        </w:rPr>
        <w:t>APPENDICES</w:t>
      </w:r>
    </w:p>
    <w:p w14:paraId="13974F93" w14:textId="77777777" w:rsidR="00CF1C9E" w:rsidRDefault="00000000">
      <w:pPr>
        <w:ind w:left="709"/>
        <w:rPr>
          <w:rFonts w:cs="Arial"/>
        </w:rPr>
      </w:pPr>
      <w:r>
        <w:rPr>
          <w:rFonts w:cs="Arial"/>
        </w:rPr>
        <w:t>1.  Appendix 1 - Recommended Incision Sites For Escharotomy.</w:t>
      </w:r>
    </w:p>
    <w:p w14:paraId="2ED47021" w14:textId="77777777" w:rsidR="00CF1C9E" w:rsidRDefault="00CF1C9E">
      <w:pPr>
        <w:rPr>
          <w:rFonts w:cs="Arial"/>
        </w:rPr>
      </w:pPr>
    </w:p>
    <w:p w14:paraId="26DE5E88" w14:textId="77777777" w:rsidR="00CF1C9E" w:rsidRDefault="00000000">
      <w:pPr>
        <w:ind w:left="284"/>
        <w:rPr>
          <w:rFonts w:cs="Arial"/>
          <w:b/>
        </w:rPr>
      </w:pPr>
      <w:r>
        <w:rPr>
          <w:rFonts w:cs="Arial"/>
          <w:b/>
        </w:rPr>
        <w:t>REVISION HISTORY</w:t>
      </w:r>
    </w:p>
    <w:tbl>
      <w:tblPr>
        <w:tblW w:w="0" w:type="auto"/>
        <w:tblInd w:w="3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835"/>
        <w:gridCol w:w="6843"/>
      </w:tblGrid>
      <w:tr w:rsidR="00CF1C9E" w14:paraId="5F70C775" w14:textId="77777777">
        <w:tc>
          <w:tcPr>
            <w:tcW w:w="2835" w:type="dxa"/>
          </w:tcPr>
          <w:p w14:paraId="3BDD5841" w14:textId="77777777" w:rsidR="00CF1C9E" w:rsidRDefault="00000000">
            <w:pPr>
              <w:spacing w:before="20" w:after="20" w:line="276" w:lineRule="auto"/>
              <w:rPr>
                <w:rFonts w:cs="Arial"/>
                <w:b/>
                <w:sz w:val="20"/>
                <w:szCs w:val="20"/>
              </w:rPr>
            </w:pPr>
            <w:r>
              <w:rPr>
                <w:rFonts w:cs="Arial"/>
                <w:b/>
                <w:sz w:val="20"/>
                <w:szCs w:val="20"/>
              </w:rPr>
              <w:t>Version (Document #)</w:t>
            </w:r>
          </w:p>
        </w:tc>
        <w:tc>
          <w:tcPr>
            <w:tcW w:w="6843" w:type="dxa"/>
          </w:tcPr>
          <w:p w14:paraId="358F8F14" w14:textId="77777777" w:rsidR="00CF1C9E" w:rsidRDefault="00000000">
            <w:pPr>
              <w:spacing w:before="20" w:after="20" w:line="276" w:lineRule="auto"/>
              <w:rPr>
                <w:rFonts w:cs="Arial"/>
                <w:b/>
                <w:sz w:val="20"/>
                <w:szCs w:val="20"/>
              </w:rPr>
            </w:pPr>
            <w:r>
              <w:rPr>
                <w:rFonts w:cs="Arial"/>
                <w:b/>
                <w:sz w:val="20"/>
                <w:szCs w:val="20"/>
              </w:rPr>
              <w:t>Amendment notes</w:t>
            </w:r>
          </w:p>
        </w:tc>
      </w:tr>
      <w:tr w:rsidR="00CF1C9E" w14:paraId="62AD5D4E" w14:textId="77777777">
        <w:tc>
          <w:tcPr>
            <w:tcW w:w="2835" w:type="dxa"/>
          </w:tcPr>
          <w:p w14:paraId="04A0C181" w14:textId="61479C34" w:rsidR="00CF1C9E" w:rsidRDefault="00000000">
            <w:pPr>
              <w:spacing w:before="20" w:after="20" w:line="276" w:lineRule="auto"/>
              <w:rPr>
                <w:rFonts w:cs="Arial"/>
                <w:sz w:val="20"/>
                <w:szCs w:val="20"/>
              </w:rPr>
            </w:pPr>
            <w:r>
              <w:rPr>
                <w:rFonts w:cs="Arial"/>
                <w:sz w:val="20"/>
                <w:szCs w:val="20"/>
              </w:rPr>
              <w:t>Version 6.0</w:t>
            </w:r>
            <w:r w:rsidR="000E2C72">
              <w:rPr>
                <w:rFonts w:cs="Arial"/>
                <w:sz w:val="20"/>
                <w:szCs w:val="20"/>
              </w:rPr>
              <w:t xml:space="preserve"> Sept 2025</w:t>
            </w:r>
          </w:p>
        </w:tc>
        <w:tc>
          <w:tcPr>
            <w:tcW w:w="6843" w:type="dxa"/>
          </w:tcPr>
          <w:p w14:paraId="262C17DB" w14:textId="77777777" w:rsidR="00CF1C9E" w:rsidRDefault="00000000">
            <w:pPr>
              <w:spacing w:before="20" w:after="20" w:line="276" w:lineRule="auto"/>
              <w:rPr>
                <w:rFonts w:cs="Arial"/>
                <w:sz w:val="20"/>
                <w:szCs w:val="20"/>
              </w:rPr>
            </w:pPr>
            <w:r>
              <w:rPr>
                <w:rFonts w:cs="Arial"/>
                <w:sz w:val="20"/>
                <w:szCs w:val="20"/>
              </w:rPr>
              <w:t>•  More explicit instruction around who to call for escharotomies: prehospital call the DRC, interhospital call the receiving Burns Centre or SBIS.</w:t>
            </w:r>
          </w:p>
          <w:p w14:paraId="049BE38F" w14:textId="77777777" w:rsidR="00CF1C9E" w:rsidRDefault="00000000">
            <w:pPr>
              <w:spacing w:before="20" w:after="20" w:line="276" w:lineRule="auto"/>
              <w:rPr>
                <w:rFonts w:cs="Arial"/>
                <w:sz w:val="20"/>
                <w:szCs w:val="20"/>
              </w:rPr>
            </w:pPr>
            <w:r>
              <w:rPr>
                <w:rFonts w:cs="Arial"/>
                <w:sz w:val="20"/>
                <w:szCs w:val="20"/>
              </w:rPr>
              <w:t>•  Re-emphasised the more emergent nature of chest escharotomy compared to limb escharotomy that can often be deferred</w:t>
            </w:r>
          </w:p>
          <w:p w14:paraId="6B75A4DC" w14:textId="77777777" w:rsidR="00CF1C9E" w:rsidRDefault="00000000">
            <w:pPr>
              <w:spacing w:before="20" w:after="20" w:line="276" w:lineRule="auto"/>
              <w:rPr>
                <w:rFonts w:cs="Arial"/>
                <w:sz w:val="20"/>
                <w:szCs w:val="20"/>
              </w:rPr>
            </w:pPr>
            <w:r>
              <w:rPr>
                <w:rFonts w:cs="Arial"/>
                <w:sz w:val="20"/>
                <w:szCs w:val="20"/>
              </w:rPr>
              <w:t>•  A reminder to re-assess for end points post procedure</w:t>
            </w:r>
          </w:p>
          <w:p w14:paraId="1B4289CE" w14:textId="77777777" w:rsidR="00CF1C9E" w:rsidRDefault="00000000">
            <w:pPr>
              <w:spacing w:before="20" w:after="20" w:line="276" w:lineRule="auto"/>
              <w:rPr>
                <w:rFonts w:cs="Arial"/>
                <w:sz w:val="20"/>
                <w:szCs w:val="20"/>
              </w:rPr>
            </w:pPr>
            <w:r>
              <w:rPr>
                <w:rFonts w:cs="Arial"/>
                <w:sz w:val="20"/>
                <w:szCs w:val="20"/>
              </w:rPr>
              <w:t>•  Reviewed by NSW StateWide Burn Injury Service</w:t>
            </w:r>
          </w:p>
        </w:tc>
      </w:tr>
      <w:tr w:rsidR="00CF1C9E" w14:paraId="6F8F1E0B" w14:textId="77777777">
        <w:tc>
          <w:tcPr>
            <w:tcW w:w="2835" w:type="dxa"/>
          </w:tcPr>
          <w:p w14:paraId="2FE15F64" w14:textId="406DFC6B" w:rsidR="00CF1C9E" w:rsidRDefault="00000000">
            <w:pPr>
              <w:spacing w:before="20" w:after="20" w:line="276" w:lineRule="auto"/>
              <w:rPr>
                <w:rFonts w:cs="Arial"/>
                <w:sz w:val="20"/>
                <w:szCs w:val="20"/>
              </w:rPr>
            </w:pPr>
            <w:r>
              <w:rPr>
                <w:rFonts w:cs="Arial"/>
                <w:sz w:val="20"/>
                <w:szCs w:val="20"/>
              </w:rPr>
              <w:t>Version 5.0</w:t>
            </w:r>
            <w:r w:rsidR="000E2C72">
              <w:rPr>
                <w:rFonts w:cs="Arial"/>
                <w:sz w:val="20"/>
                <w:szCs w:val="20"/>
              </w:rPr>
              <w:t xml:space="preserve"> June 2022</w:t>
            </w:r>
          </w:p>
        </w:tc>
        <w:tc>
          <w:tcPr>
            <w:tcW w:w="6843" w:type="dxa"/>
          </w:tcPr>
          <w:p w14:paraId="741541F0" w14:textId="77777777" w:rsidR="00CF1C9E" w:rsidRDefault="00000000">
            <w:pPr>
              <w:spacing w:before="20" w:after="20" w:line="276" w:lineRule="auto"/>
              <w:rPr>
                <w:rFonts w:cs="Arial"/>
                <w:sz w:val="20"/>
                <w:szCs w:val="20"/>
              </w:rPr>
            </w:pPr>
            <w:r>
              <w:rPr>
                <w:rFonts w:cs="Arial"/>
                <w:sz w:val="20"/>
                <w:szCs w:val="20"/>
              </w:rPr>
              <w:t>•  Added references to ITIM App Calculators</w:t>
            </w:r>
          </w:p>
          <w:p w14:paraId="6E8F8062" w14:textId="77777777" w:rsidR="00CF1C9E" w:rsidRDefault="00000000">
            <w:pPr>
              <w:spacing w:before="20" w:after="20" w:line="276" w:lineRule="auto"/>
              <w:rPr>
                <w:rFonts w:cs="Arial"/>
                <w:sz w:val="20"/>
                <w:szCs w:val="20"/>
              </w:rPr>
            </w:pPr>
            <w:r>
              <w:rPr>
                <w:rFonts w:cs="Arial"/>
                <w:sz w:val="20"/>
                <w:szCs w:val="20"/>
              </w:rPr>
              <w:t>•  Addition of clarification of first aid from NSW Burns Transfer Guideline</w:t>
            </w:r>
          </w:p>
          <w:p w14:paraId="123D1488" w14:textId="77777777" w:rsidR="00CF1C9E" w:rsidRDefault="00000000">
            <w:pPr>
              <w:spacing w:before="20" w:after="20" w:line="276" w:lineRule="auto"/>
              <w:rPr>
                <w:rFonts w:cs="Arial"/>
                <w:sz w:val="20"/>
                <w:szCs w:val="20"/>
              </w:rPr>
            </w:pPr>
            <w:r>
              <w:rPr>
                <w:rFonts w:cs="Arial"/>
                <w:sz w:val="20"/>
                <w:szCs w:val="20"/>
              </w:rPr>
              <w:t>•  Minor changes to indicators of airway and inhalational injury to align with NSW Burns Transfer Guideline</w:t>
            </w:r>
          </w:p>
          <w:p w14:paraId="4C4972A8" w14:textId="77777777" w:rsidR="00CF1C9E" w:rsidRDefault="00000000">
            <w:pPr>
              <w:spacing w:before="20" w:after="20" w:line="276" w:lineRule="auto"/>
              <w:rPr>
                <w:rFonts w:cs="Arial"/>
                <w:sz w:val="20"/>
                <w:szCs w:val="20"/>
              </w:rPr>
            </w:pPr>
            <w:r>
              <w:rPr>
                <w:rFonts w:cs="Arial"/>
                <w:sz w:val="20"/>
                <w:szCs w:val="20"/>
              </w:rPr>
              <w:t>•  Dressings amendement to align with NSW Burns Transfer Guideline and additionally to avoid practical problems with hydrogel and paraffin application prior to patient stabilisation</w:t>
            </w:r>
          </w:p>
          <w:p w14:paraId="38C07B49" w14:textId="77777777" w:rsidR="00CF1C9E" w:rsidRDefault="00000000">
            <w:pPr>
              <w:spacing w:before="20" w:after="20" w:line="276" w:lineRule="auto"/>
              <w:rPr>
                <w:rFonts w:cs="Arial"/>
                <w:sz w:val="20"/>
                <w:szCs w:val="20"/>
              </w:rPr>
            </w:pPr>
            <w:r>
              <w:rPr>
                <w:rFonts w:cs="Arial"/>
                <w:sz w:val="20"/>
                <w:szCs w:val="20"/>
              </w:rPr>
              <w:t>•  Minor contextual changes to escharotomy explanation</w:t>
            </w:r>
          </w:p>
          <w:p w14:paraId="4B467AB5" w14:textId="77777777" w:rsidR="00CF1C9E" w:rsidRDefault="00000000">
            <w:pPr>
              <w:spacing w:before="20" w:after="20" w:line="276" w:lineRule="auto"/>
              <w:rPr>
                <w:rFonts w:cs="Arial"/>
                <w:sz w:val="20"/>
                <w:szCs w:val="20"/>
              </w:rPr>
            </w:pPr>
            <w:r>
              <w:rPr>
                <w:rFonts w:cs="Arial"/>
                <w:sz w:val="20"/>
                <w:szCs w:val="20"/>
              </w:rPr>
              <w:t>•  MRU changed to ACC</w:t>
            </w:r>
          </w:p>
          <w:p w14:paraId="69DE4DC3" w14:textId="77777777" w:rsidR="00CF1C9E" w:rsidRDefault="00000000">
            <w:pPr>
              <w:spacing w:before="20" w:after="20" w:line="276" w:lineRule="auto"/>
              <w:rPr>
                <w:rFonts w:cs="Arial"/>
                <w:sz w:val="20"/>
                <w:szCs w:val="20"/>
              </w:rPr>
            </w:pPr>
            <w:r>
              <w:rPr>
                <w:rFonts w:cs="Arial"/>
                <w:sz w:val="20"/>
                <w:szCs w:val="20"/>
              </w:rPr>
              <w:t>•  Fluid resuscitation guidance altered to align with NSW Burns Transfer Guideline</w:t>
            </w:r>
          </w:p>
          <w:p w14:paraId="105A3425" w14:textId="77777777" w:rsidR="00CF1C9E" w:rsidRDefault="00000000">
            <w:pPr>
              <w:spacing w:before="20" w:after="20" w:line="276" w:lineRule="auto"/>
              <w:rPr>
                <w:rFonts w:cs="Arial"/>
                <w:sz w:val="20"/>
                <w:szCs w:val="20"/>
              </w:rPr>
            </w:pPr>
            <w:r>
              <w:rPr>
                <w:rFonts w:cs="Arial"/>
                <w:sz w:val="20"/>
                <w:szCs w:val="20"/>
              </w:rPr>
              <w:t>•  Urine output guidance altered to align with NSW Burns Transfer Guideline</w:t>
            </w:r>
          </w:p>
        </w:tc>
      </w:tr>
      <w:tr w:rsidR="00CF1C9E" w14:paraId="4A932FD9" w14:textId="77777777">
        <w:tc>
          <w:tcPr>
            <w:tcW w:w="2835" w:type="dxa"/>
          </w:tcPr>
          <w:p w14:paraId="60808B73" w14:textId="77777777" w:rsidR="00CF1C9E" w:rsidRDefault="00000000">
            <w:pPr>
              <w:spacing w:before="20" w:after="20" w:line="276" w:lineRule="auto"/>
              <w:rPr>
                <w:rFonts w:cs="Arial"/>
                <w:sz w:val="20"/>
                <w:szCs w:val="20"/>
              </w:rPr>
            </w:pPr>
            <w:r>
              <w:rPr>
                <w:rFonts w:cs="Arial"/>
                <w:sz w:val="20"/>
                <w:szCs w:val="20"/>
              </w:rPr>
              <w:t>Version 4.0</w:t>
            </w:r>
          </w:p>
          <w:p w14:paraId="3E729391" w14:textId="77777777" w:rsidR="00CF1C9E" w:rsidRDefault="00000000">
            <w:pPr>
              <w:spacing w:before="20" w:after="20" w:line="276" w:lineRule="auto"/>
              <w:rPr>
                <w:rFonts w:cs="Arial"/>
                <w:sz w:val="20"/>
                <w:szCs w:val="20"/>
              </w:rPr>
            </w:pPr>
            <w:r>
              <w:rPr>
                <w:rFonts w:cs="Arial"/>
                <w:sz w:val="20"/>
                <w:szCs w:val="20"/>
              </w:rPr>
              <w:t>Issued 16 Ocotber 2019</w:t>
            </w:r>
          </w:p>
        </w:tc>
        <w:tc>
          <w:tcPr>
            <w:tcW w:w="6843" w:type="dxa"/>
          </w:tcPr>
          <w:p w14:paraId="4C9404E1" w14:textId="77777777" w:rsidR="00CF1C9E" w:rsidRDefault="00000000">
            <w:pPr>
              <w:spacing w:before="20" w:after="20" w:line="276" w:lineRule="auto"/>
              <w:rPr>
                <w:rFonts w:cs="Arial"/>
                <w:sz w:val="20"/>
                <w:szCs w:val="20"/>
              </w:rPr>
            </w:pPr>
            <w:r>
              <w:rPr>
                <w:rFonts w:cs="Arial"/>
                <w:sz w:val="20"/>
                <w:szCs w:val="20"/>
              </w:rPr>
              <w:t>•  Modified Parkland Formula updated to latest NSW Health Burns Guideline (3ml/Kg x %TBSA)</w:t>
            </w:r>
          </w:p>
          <w:p w14:paraId="658C1875" w14:textId="77777777" w:rsidR="00CF1C9E" w:rsidRDefault="00000000">
            <w:pPr>
              <w:spacing w:before="20" w:after="20" w:line="276" w:lineRule="auto"/>
              <w:rPr>
                <w:rFonts w:cs="Arial"/>
                <w:sz w:val="20"/>
                <w:szCs w:val="20"/>
              </w:rPr>
            </w:pPr>
            <w:r>
              <w:rPr>
                <w:rFonts w:cs="Arial"/>
                <w:sz w:val="20"/>
                <w:szCs w:val="20"/>
              </w:rPr>
              <w:t>•  Need for increased fluid requirements in inhalational injury removed as latest NSW Health Burns Guideline omits it.</w:t>
            </w:r>
          </w:p>
        </w:tc>
      </w:tr>
      <w:tr w:rsidR="00CF1C9E" w14:paraId="4B01ABC2" w14:textId="77777777">
        <w:tc>
          <w:tcPr>
            <w:tcW w:w="2835" w:type="dxa"/>
          </w:tcPr>
          <w:p w14:paraId="0B9F6E87" w14:textId="77777777" w:rsidR="00CF1C9E" w:rsidRDefault="00000000">
            <w:pPr>
              <w:spacing w:before="20" w:after="20" w:line="276" w:lineRule="auto"/>
              <w:rPr>
                <w:rFonts w:cs="Arial"/>
                <w:sz w:val="20"/>
                <w:szCs w:val="20"/>
              </w:rPr>
            </w:pPr>
            <w:r>
              <w:rPr>
                <w:rFonts w:cs="Arial"/>
                <w:sz w:val="20"/>
                <w:szCs w:val="20"/>
              </w:rPr>
              <w:t>Version 3.0</w:t>
            </w:r>
          </w:p>
          <w:p w14:paraId="7E5FEA96" w14:textId="77777777" w:rsidR="00CF1C9E" w:rsidRDefault="00000000">
            <w:pPr>
              <w:spacing w:before="20" w:after="20" w:line="276" w:lineRule="auto"/>
              <w:rPr>
                <w:rFonts w:cs="Arial"/>
                <w:sz w:val="20"/>
                <w:szCs w:val="20"/>
              </w:rPr>
            </w:pPr>
            <w:r>
              <w:rPr>
                <w:rFonts w:cs="Arial"/>
                <w:sz w:val="20"/>
                <w:szCs w:val="20"/>
              </w:rPr>
              <w:t>Issued 16 September 2016</w:t>
            </w:r>
          </w:p>
        </w:tc>
        <w:tc>
          <w:tcPr>
            <w:tcW w:w="6843" w:type="dxa"/>
          </w:tcPr>
          <w:p w14:paraId="40B76983" w14:textId="77777777" w:rsidR="00CF1C9E" w:rsidRDefault="00000000">
            <w:pPr>
              <w:spacing w:before="20" w:after="20" w:line="276" w:lineRule="auto"/>
              <w:rPr>
                <w:rFonts w:cs="Arial"/>
                <w:sz w:val="20"/>
                <w:szCs w:val="20"/>
              </w:rPr>
            </w:pPr>
            <w:r>
              <w:rPr>
                <w:rFonts w:cs="Arial"/>
                <w:sz w:val="20"/>
                <w:szCs w:val="20"/>
              </w:rPr>
              <w:t>•  Minor amendments, including reference to Senior Retrieval Consultant (SRC) changed to Duty Retrieval Consultant (DRC).</w:t>
            </w:r>
          </w:p>
          <w:p w14:paraId="5757AB84" w14:textId="77777777" w:rsidR="00CF1C9E" w:rsidRDefault="00000000">
            <w:pPr>
              <w:spacing w:before="20" w:after="20" w:line="276" w:lineRule="auto"/>
              <w:rPr>
                <w:rFonts w:cs="Arial"/>
                <w:sz w:val="20"/>
                <w:szCs w:val="20"/>
              </w:rPr>
            </w:pPr>
            <w:r>
              <w:rPr>
                <w:rFonts w:cs="Arial"/>
                <w:sz w:val="20"/>
                <w:szCs w:val="20"/>
              </w:rPr>
              <w:t>•  Transition to new format.</w:t>
            </w:r>
          </w:p>
          <w:p w14:paraId="595BDA7E" w14:textId="77777777" w:rsidR="00CF1C9E" w:rsidRDefault="00CF1C9E">
            <w:pPr>
              <w:spacing w:before="20" w:after="20" w:line="276" w:lineRule="auto"/>
              <w:rPr>
                <w:rFonts w:cs="Arial"/>
                <w:sz w:val="20"/>
                <w:szCs w:val="20"/>
              </w:rPr>
            </w:pPr>
          </w:p>
          <w:p w14:paraId="33D9F10F" w14:textId="77777777" w:rsidR="00CF1C9E" w:rsidRDefault="00000000">
            <w:pPr>
              <w:spacing w:before="20" w:after="20" w:line="276" w:lineRule="auto"/>
              <w:rPr>
                <w:rFonts w:cs="Arial"/>
                <w:sz w:val="20"/>
                <w:szCs w:val="20"/>
              </w:rPr>
            </w:pPr>
            <w:r>
              <w:rPr>
                <w:rFonts w:cs="Arial"/>
                <w:sz w:val="20"/>
                <w:szCs w:val="20"/>
              </w:rPr>
              <w:lastRenderedPageBreak/>
              <w:t>Approved by Executive Director, Health Emergency &amp; Aeromedical Services.</w:t>
            </w:r>
          </w:p>
        </w:tc>
      </w:tr>
      <w:tr w:rsidR="00CF1C9E" w14:paraId="48B2410C" w14:textId="77777777">
        <w:tc>
          <w:tcPr>
            <w:tcW w:w="2835" w:type="dxa"/>
          </w:tcPr>
          <w:p w14:paraId="1A270D1E" w14:textId="77777777" w:rsidR="00CF1C9E" w:rsidRDefault="00000000">
            <w:pPr>
              <w:spacing w:before="20" w:after="20" w:line="276" w:lineRule="auto"/>
              <w:rPr>
                <w:rFonts w:cs="Arial"/>
                <w:sz w:val="20"/>
                <w:szCs w:val="20"/>
              </w:rPr>
            </w:pPr>
            <w:r>
              <w:rPr>
                <w:rFonts w:cs="Arial"/>
                <w:sz w:val="20"/>
                <w:szCs w:val="20"/>
              </w:rPr>
              <w:lastRenderedPageBreak/>
              <w:t>Version 1.0</w:t>
            </w:r>
          </w:p>
          <w:p w14:paraId="672EF0FE" w14:textId="77777777" w:rsidR="00CF1C9E" w:rsidRDefault="00000000">
            <w:pPr>
              <w:spacing w:before="20" w:after="20" w:line="276" w:lineRule="auto"/>
              <w:rPr>
                <w:rFonts w:cs="Arial"/>
                <w:sz w:val="20"/>
                <w:szCs w:val="20"/>
              </w:rPr>
            </w:pPr>
            <w:r>
              <w:rPr>
                <w:rFonts w:cs="Arial"/>
                <w:sz w:val="20"/>
                <w:szCs w:val="20"/>
              </w:rPr>
              <w:t>Issued May 2013</w:t>
            </w:r>
          </w:p>
        </w:tc>
        <w:tc>
          <w:tcPr>
            <w:tcW w:w="6843" w:type="dxa"/>
          </w:tcPr>
          <w:p w14:paraId="0EE029DA" w14:textId="77777777" w:rsidR="00CF1C9E" w:rsidRDefault="00000000">
            <w:pPr>
              <w:spacing w:before="20" w:after="20" w:line="276" w:lineRule="auto"/>
              <w:rPr>
                <w:rFonts w:cs="Arial"/>
                <w:sz w:val="20"/>
                <w:szCs w:val="20"/>
              </w:rPr>
            </w:pPr>
            <w:r>
              <w:rPr>
                <w:rFonts w:cs="Arial"/>
                <w:sz w:val="20"/>
                <w:szCs w:val="20"/>
              </w:rPr>
              <w:t>Approved by Executive Director, Health Emergency &amp; Aeromedical Services</w:t>
            </w:r>
          </w:p>
        </w:tc>
      </w:tr>
    </w:tbl>
    <w:p w14:paraId="797653AE" w14:textId="77777777" w:rsidR="00CF1C9E" w:rsidRDefault="00000000">
      <w:pPr>
        <w:rPr>
          <w:rFonts w:cs="Arial"/>
        </w:rPr>
      </w:pPr>
      <w:r>
        <w:br w:type="page"/>
      </w:r>
    </w:p>
    <w:p w14:paraId="4B7530BF" w14:textId="77777777" w:rsidR="00CF1C9E" w:rsidRDefault="00000000">
      <w:pPr>
        <w:jc w:val="center"/>
        <w:rPr>
          <w:rFonts w:cs="Arial"/>
          <w:b/>
          <w:sz w:val="28"/>
          <w:szCs w:val="28"/>
        </w:rPr>
      </w:pPr>
      <w:r>
        <w:rPr>
          <w:rFonts w:cs="Arial"/>
          <w:b/>
          <w:sz w:val="28"/>
          <w:szCs w:val="28"/>
        </w:rPr>
        <w:lastRenderedPageBreak/>
        <w:t>APPENDIX 1 - RECOMMENDED INCISION SITES FOR ESCHAROTOMY</w:t>
      </w:r>
    </w:p>
    <w:p w14:paraId="69DBF703" w14:textId="77777777" w:rsidR="00CF1C9E" w:rsidRDefault="00000000">
      <w:pPr>
        <w:jc w:val="center"/>
        <w:rPr>
          <w:rFonts w:cs="Arial"/>
          <w:b/>
          <w:sz w:val="28"/>
          <w:szCs w:val="28"/>
        </w:rPr>
      </w:pPr>
      <w:r>
        <w:rPr>
          <w:rFonts w:cs="Arial"/>
          <w:b/>
          <w:sz w:val="28"/>
          <w:szCs w:val="28"/>
        </w:rPr>
        <w:t>WITH STRUCTURES TO AVOID HIGHLIGHTED</w:t>
      </w:r>
    </w:p>
    <w:p w14:paraId="36A00FF2" w14:textId="77777777" w:rsidR="00CF1C9E" w:rsidRDefault="00CF1C9E">
      <w:pPr>
        <w:rPr>
          <w:rFonts w:cs="Arial"/>
        </w:rPr>
      </w:pPr>
    </w:p>
    <w:p w14:paraId="3590994C" w14:textId="77777777" w:rsidR="00CF1C9E" w:rsidRDefault="00000000">
      <w:pPr>
        <w:jc w:val="center"/>
        <w:rPr>
          <w:rFonts w:cs="Arial"/>
        </w:rPr>
      </w:pPr>
      <w:r>
        <w:rPr>
          <w:noProof/>
        </w:rPr>
        <w:drawing>
          <wp:inline distT="0" distB="0" distL="0" distR="0" wp14:anchorId="7F8ED8F1" wp14:editId="26258E7D">
            <wp:extent cx="4200000" cy="4462500"/>
            <wp:effectExtent l="0" t="0" r="0" b="0"/>
            <wp:docPr id="900" name="Escharotomy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EscharotomyDiagram"/>
                    <pic:cNvPicPr/>
                  </pic:nvPicPr>
                  <pic:blipFill>
                    <a:blip r:embed="rId8"/>
                    <a:stretch>
                      <a:fillRect/>
                    </a:stretch>
                  </pic:blipFill>
                  <pic:spPr>
                    <a:xfrm>
                      <a:off x="0" y="0"/>
                      <a:ext cx="4200000" cy="4462500"/>
                    </a:xfrm>
                    <a:prstGeom prst="rect">
                      <a:avLst/>
                    </a:prstGeom>
                  </pic:spPr>
                </pic:pic>
              </a:graphicData>
            </a:graphic>
          </wp:inline>
        </w:drawing>
      </w:r>
    </w:p>
    <w:p w14:paraId="0755BF0C" w14:textId="77777777" w:rsidR="00CF1C9E" w:rsidRDefault="00CF1C9E">
      <w:pPr>
        <w:pStyle w:val="ListParagraph"/>
        <w:spacing w:before="0" w:after="0"/>
        <w:ind w:left="714"/>
        <w:rPr>
          <w:sz w:val="24"/>
          <w:szCs w:val="24"/>
        </w:rPr>
      </w:pPr>
    </w:p>
    <w:sectPr w:rsidR="00CF1C9E" w:rsidSect="00B1504E">
      <w:headerReference w:type="default" r:id="rId9"/>
      <w:footerReference w:type="default" r:id="rId10"/>
      <w:pgSz w:w="12240" w:h="15840" w:code="1"/>
      <w:pgMar w:top="2127"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B7FF4C" w14:textId="77777777" w:rsidR="00D83E14" w:rsidRDefault="00D83E14">
      <w:r>
        <w:separator/>
      </w:r>
    </w:p>
  </w:endnote>
  <w:endnote w:type="continuationSeparator" w:id="0">
    <w:p w14:paraId="0A9DF104" w14:textId="77777777" w:rsidR="00D83E14" w:rsidRDefault="00D83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3" w:usb1="1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611891899"/>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6F8FACCB" w14:textId="77777777" w:rsidR="001F11A2" w:rsidRDefault="0061366A" w:rsidP="00B062BB">
            <w:pPr>
              <w:pBdr>
                <w:top w:val="single" w:sz="4" w:space="1" w:color="auto"/>
              </w:pBdr>
              <w:tabs>
                <w:tab w:val="right" w:pos="10065"/>
              </w:tabs>
              <w:rPr>
                <w:sz w:val="18"/>
                <w:szCs w:val="18"/>
                <w:lang w:eastAsia="en-US"/>
              </w:rPr>
            </w:pPr>
            <w:r>
              <w:rPr>
                <w:sz w:val="18"/>
                <w:szCs w:val="18"/>
                <w:lang w:eastAsia="en-US"/>
              </w:rPr>
              <w:t xml:space="preserve">Version </w:t>
            </w:r>
            <w:r w:rsidR="00FC52AC">
              <w:rPr>
                <w:sz w:val="18"/>
                <w:szCs w:val="18"/>
                <w:lang w:eastAsia="en-US"/>
              </w:rPr>
              <w:t>6</w:t>
            </w:r>
            <w:r w:rsidR="00B062BB">
              <w:rPr>
                <w:sz w:val="18"/>
                <w:szCs w:val="18"/>
                <w:lang w:eastAsia="en-US"/>
              </w:rPr>
              <w:t>.0</w:t>
            </w:r>
            <w:r w:rsidR="002E225A">
              <w:rPr>
                <w:sz w:val="18"/>
                <w:szCs w:val="18"/>
                <w:lang w:eastAsia="en-US"/>
              </w:rPr>
              <w:t xml:space="preserve"> </w:t>
            </w:r>
          </w:p>
          <w:p w14:paraId="75E4DCA2" w14:textId="77777777" w:rsidR="00B062BB" w:rsidRPr="00B062BB" w:rsidRDefault="00B062BB" w:rsidP="001F11A2">
            <w:pPr>
              <w:pBdr>
                <w:top w:val="single" w:sz="4" w:space="1" w:color="auto"/>
              </w:pBdr>
              <w:tabs>
                <w:tab w:val="right" w:pos="10065"/>
              </w:tabs>
              <w:rPr>
                <w:sz w:val="18"/>
                <w:szCs w:val="18"/>
              </w:rPr>
            </w:pPr>
            <w:r>
              <w:rPr>
                <w:sz w:val="18"/>
                <w:szCs w:val="18"/>
                <w:lang w:eastAsia="en-US"/>
              </w:rPr>
              <w:tab/>
            </w:r>
            <w:r w:rsidRPr="00B062BB">
              <w:rPr>
                <w:sz w:val="20"/>
                <w:szCs w:val="20"/>
              </w:rPr>
              <w:t xml:space="preserve">Page </w:t>
            </w:r>
            <w:r w:rsidRPr="00B062BB">
              <w:rPr>
                <w:b/>
                <w:bCs/>
                <w:sz w:val="20"/>
                <w:szCs w:val="20"/>
              </w:rPr>
              <w:fldChar w:fldCharType="begin"/>
            </w:r>
            <w:r w:rsidRPr="00B062BB">
              <w:rPr>
                <w:b/>
                <w:bCs/>
                <w:sz w:val="20"/>
                <w:szCs w:val="20"/>
              </w:rPr>
              <w:instrText xml:space="preserve"> PAGE </w:instrText>
            </w:r>
            <w:r w:rsidRPr="00B062BB">
              <w:rPr>
                <w:b/>
                <w:bCs/>
                <w:sz w:val="20"/>
                <w:szCs w:val="20"/>
              </w:rPr>
              <w:fldChar w:fldCharType="separate"/>
            </w:r>
            <w:r w:rsidR="002022BD">
              <w:rPr>
                <w:b/>
                <w:bCs/>
                <w:noProof/>
                <w:sz w:val="20"/>
                <w:szCs w:val="20"/>
              </w:rPr>
              <w:t>1</w:t>
            </w:r>
            <w:r w:rsidRPr="00B062BB">
              <w:rPr>
                <w:b/>
                <w:bCs/>
                <w:sz w:val="20"/>
                <w:szCs w:val="20"/>
              </w:rPr>
              <w:fldChar w:fldCharType="end"/>
            </w:r>
            <w:r w:rsidRPr="00B062BB">
              <w:rPr>
                <w:sz w:val="20"/>
                <w:szCs w:val="20"/>
              </w:rPr>
              <w:t xml:space="preserve"> of </w:t>
            </w:r>
            <w:r w:rsidRPr="00B062BB">
              <w:rPr>
                <w:b/>
                <w:bCs/>
                <w:sz w:val="20"/>
                <w:szCs w:val="20"/>
              </w:rPr>
              <w:fldChar w:fldCharType="begin"/>
            </w:r>
            <w:r w:rsidRPr="00B062BB">
              <w:rPr>
                <w:b/>
                <w:bCs/>
                <w:sz w:val="20"/>
                <w:szCs w:val="20"/>
              </w:rPr>
              <w:instrText xml:space="preserve"> NUMPAGES  </w:instrText>
            </w:r>
            <w:r w:rsidRPr="00B062BB">
              <w:rPr>
                <w:b/>
                <w:bCs/>
                <w:sz w:val="20"/>
                <w:szCs w:val="20"/>
              </w:rPr>
              <w:fldChar w:fldCharType="separate"/>
            </w:r>
            <w:r w:rsidR="002022BD">
              <w:rPr>
                <w:b/>
                <w:bCs/>
                <w:noProof/>
                <w:sz w:val="20"/>
                <w:szCs w:val="20"/>
              </w:rPr>
              <w:t>1</w:t>
            </w:r>
            <w:r w:rsidRPr="00B062BB">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92A103" w14:textId="77777777" w:rsidR="00D83E14" w:rsidRDefault="00D83E14">
      <w:r>
        <w:separator/>
      </w:r>
    </w:p>
  </w:footnote>
  <w:footnote w:type="continuationSeparator" w:id="0">
    <w:p w14:paraId="204A55A0" w14:textId="77777777" w:rsidR="00D83E14" w:rsidRDefault="00D83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5333D" w14:textId="77777777" w:rsidR="00ED1225" w:rsidRDefault="00ED1225"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0" distB="0" distL="114300" distR="114300" simplePos="0" relativeHeight="251660800" behindDoc="0" locked="0" layoutInCell="1" allowOverlap="1" wp14:anchorId="0A5605F1" wp14:editId="7DDB393B">
              <wp:simplePos x="0" y="0"/>
              <wp:positionH relativeFrom="column">
                <wp:posOffset>3528441</wp:posOffset>
              </wp:positionH>
              <wp:positionV relativeFrom="paragraph">
                <wp:posOffset>95123</wp:posOffset>
              </wp:positionV>
              <wp:extent cx="3941064" cy="402336"/>
              <wp:effectExtent l="0" t="0" r="254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1064" cy="402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42C9A" w14:textId="77777777"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5605F1" id="_x0000_t202" coordsize="21600,21600" o:spt="202" path="m,l,21600r21600,l21600,xe">
              <v:stroke joinstyle="miter"/>
              <v:path gradientshapeok="t" o:connecttype="rect"/>
            </v:shapetype>
            <v:shape id="Text Box 1" o:spid="_x0000_s1026" type="#_x0000_t202" style="position:absolute;left:0;text-align:left;margin-left:277.85pt;margin-top:7.5pt;width:310.3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" stroked="f">
              <v:textbox>
                <w:txbxContent>
                  <w:p w14:paraId="18242C9A" w14:textId="77777777"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v:textbox>
            </v:shape>
          </w:pict>
        </mc:Fallback>
      </mc:AlternateContent>
    </w:r>
    <w:r>
      <w:rPr>
        <w:rFonts w:ascii="Calibri" w:eastAsia="Calibri" w:hAnsi="Calibri"/>
        <w:noProof/>
      </w:rPr>
      <w:drawing>
        <wp:inline distT="0" distB="0" distL="0" distR="0" wp14:anchorId="7C171EEC" wp14:editId="1E0A406B">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1B9BADC3" w14:textId="77777777" w:rsidR="00ED1225" w:rsidRDefault="00ED1225">
    <w:pPr>
      <w:pStyle w:val="Header"/>
    </w:pPr>
    <w:r>
      <w:rPr>
        <w:lang w:val="en-AU" w:eastAsia="en-AU"/>
      </w:rPr>
      <mc:AlternateContent>
        <mc:Choice Requires="wps">
          <w:drawing>
            <wp:anchor distT="4294967295" distB="4294967295" distL="114300" distR="114300" simplePos="0" relativeHeight="251662848" behindDoc="0" locked="0" layoutInCell="1" allowOverlap="1" wp14:anchorId="154155C3" wp14:editId="2BD516DC">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17B848" id="Line 21"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3E65DC65" w14:textId="77777777" w:rsidR="00ED1225" w:rsidRDefault="00ED12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C72"/>
    <w:multiLevelType w:val="hybridMultilevel"/>
    <w:tmpl w:val="04EC33B0"/>
    <w:lvl w:ilvl="0" w:tplc="5ACC9AF0">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15:restartNumberingAfterBreak="0">
    <w:nsid w:val="0C1708E6"/>
    <w:multiLevelType w:val="hybridMultilevel"/>
    <w:tmpl w:val="36BAF040"/>
    <w:lvl w:ilvl="0" w:tplc="0C090001">
      <w:start w:val="1"/>
      <w:numFmt w:val="bullet"/>
      <w:lvlText w:val=""/>
      <w:lvlJc w:val="left"/>
      <w:pPr>
        <w:ind w:left="1868" w:hanging="360"/>
      </w:pPr>
      <w:rPr>
        <w:rFonts w:ascii="Symbol" w:hAnsi="Symbol" w:hint="default"/>
      </w:rPr>
    </w:lvl>
    <w:lvl w:ilvl="1" w:tplc="0C090003" w:tentative="1">
      <w:start w:val="1"/>
      <w:numFmt w:val="bullet"/>
      <w:lvlText w:val="o"/>
      <w:lvlJc w:val="left"/>
      <w:pPr>
        <w:ind w:left="2588" w:hanging="360"/>
      </w:pPr>
      <w:rPr>
        <w:rFonts w:ascii="Courier New" w:hAnsi="Courier New" w:cs="Courier New" w:hint="default"/>
      </w:rPr>
    </w:lvl>
    <w:lvl w:ilvl="2" w:tplc="0C090005" w:tentative="1">
      <w:start w:val="1"/>
      <w:numFmt w:val="bullet"/>
      <w:lvlText w:val=""/>
      <w:lvlJc w:val="left"/>
      <w:pPr>
        <w:ind w:left="3308" w:hanging="360"/>
      </w:pPr>
      <w:rPr>
        <w:rFonts w:ascii="Wingdings" w:hAnsi="Wingdings" w:hint="default"/>
      </w:rPr>
    </w:lvl>
    <w:lvl w:ilvl="3" w:tplc="0C090001" w:tentative="1">
      <w:start w:val="1"/>
      <w:numFmt w:val="bullet"/>
      <w:lvlText w:val=""/>
      <w:lvlJc w:val="left"/>
      <w:pPr>
        <w:ind w:left="4028" w:hanging="360"/>
      </w:pPr>
      <w:rPr>
        <w:rFonts w:ascii="Symbol" w:hAnsi="Symbol" w:hint="default"/>
      </w:rPr>
    </w:lvl>
    <w:lvl w:ilvl="4" w:tplc="0C090003" w:tentative="1">
      <w:start w:val="1"/>
      <w:numFmt w:val="bullet"/>
      <w:lvlText w:val="o"/>
      <w:lvlJc w:val="left"/>
      <w:pPr>
        <w:ind w:left="4748" w:hanging="360"/>
      </w:pPr>
      <w:rPr>
        <w:rFonts w:ascii="Courier New" w:hAnsi="Courier New" w:cs="Courier New" w:hint="default"/>
      </w:rPr>
    </w:lvl>
    <w:lvl w:ilvl="5" w:tplc="0C090005" w:tentative="1">
      <w:start w:val="1"/>
      <w:numFmt w:val="bullet"/>
      <w:lvlText w:val=""/>
      <w:lvlJc w:val="left"/>
      <w:pPr>
        <w:ind w:left="5468" w:hanging="360"/>
      </w:pPr>
      <w:rPr>
        <w:rFonts w:ascii="Wingdings" w:hAnsi="Wingdings" w:hint="default"/>
      </w:rPr>
    </w:lvl>
    <w:lvl w:ilvl="6" w:tplc="0C090001" w:tentative="1">
      <w:start w:val="1"/>
      <w:numFmt w:val="bullet"/>
      <w:lvlText w:val=""/>
      <w:lvlJc w:val="left"/>
      <w:pPr>
        <w:ind w:left="6188" w:hanging="360"/>
      </w:pPr>
      <w:rPr>
        <w:rFonts w:ascii="Symbol" w:hAnsi="Symbol" w:hint="default"/>
      </w:rPr>
    </w:lvl>
    <w:lvl w:ilvl="7" w:tplc="0C090003" w:tentative="1">
      <w:start w:val="1"/>
      <w:numFmt w:val="bullet"/>
      <w:lvlText w:val="o"/>
      <w:lvlJc w:val="left"/>
      <w:pPr>
        <w:ind w:left="6908" w:hanging="360"/>
      </w:pPr>
      <w:rPr>
        <w:rFonts w:ascii="Courier New" w:hAnsi="Courier New" w:cs="Courier New" w:hint="default"/>
      </w:rPr>
    </w:lvl>
    <w:lvl w:ilvl="8" w:tplc="0C090005" w:tentative="1">
      <w:start w:val="1"/>
      <w:numFmt w:val="bullet"/>
      <w:lvlText w:val=""/>
      <w:lvlJc w:val="left"/>
      <w:pPr>
        <w:ind w:left="7628" w:hanging="360"/>
      </w:pPr>
      <w:rPr>
        <w:rFonts w:ascii="Wingdings" w:hAnsi="Wingdings" w:hint="default"/>
      </w:rPr>
    </w:lvl>
  </w:abstractNum>
  <w:abstractNum w:abstractNumId="2" w15:restartNumberingAfterBreak="0">
    <w:nsid w:val="12FB53EC"/>
    <w:multiLevelType w:val="multilevel"/>
    <w:tmpl w:val="F7B2FE60"/>
    <w:lvl w:ilvl="0">
      <w:start w:val="1"/>
      <w:numFmt w:val="decimal"/>
      <w:lvlText w:val="%1."/>
      <w:lvlJc w:val="left"/>
      <w:pPr>
        <w:ind w:left="716" w:hanging="432"/>
      </w:pPr>
      <w:rPr>
        <w:rFonts w:hint="default"/>
      </w:rPr>
    </w:lvl>
    <w:lvl w:ilvl="1">
      <w:start w:val="1"/>
      <w:numFmt w:val="decimal"/>
      <w:lvlText w:val="%1.%2"/>
      <w:lvlJc w:val="left"/>
      <w:pPr>
        <w:ind w:left="1569" w:hanging="576"/>
      </w:pPr>
      <w:rPr>
        <w:rFonts w:hint="default"/>
        <w:b/>
        <w:sz w:val="26"/>
        <w:szCs w:val="26"/>
      </w:rPr>
    </w:lvl>
    <w:lvl w:ilvl="2">
      <w:start w:val="1"/>
      <w:numFmt w:val="decimal"/>
      <w:lvlText w:val="%1.%2.%3"/>
      <w:lvlJc w:val="left"/>
      <w:pPr>
        <w:ind w:left="4154" w:hanging="720"/>
      </w:pPr>
      <w:rPr>
        <w:rFonts w:hint="default"/>
        <w:b w:val="0"/>
      </w:rPr>
    </w:lvl>
    <w:lvl w:ilvl="3">
      <w:start w:val="1"/>
      <w:numFmt w:val="bullet"/>
      <w:lvlText w:val=""/>
      <w:lvlJc w:val="left"/>
      <w:pPr>
        <w:ind w:left="644" w:hanging="360"/>
      </w:pPr>
      <w:rPr>
        <w:rFonts w:ascii="Symbol" w:hAnsi="Symbol" w:hint="default"/>
      </w:rPr>
    </w:lvl>
    <w:lvl w:ilvl="4">
      <w:start w:val="1"/>
      <w:numFmt w:val="decimal"/>
      <w:lvlText w:val="%1.%2.%3.%4.%5"/>
      <w:lvlJc w:val="left"/>
      <w:pPr>
        <w:ind w:left="1292" w:hanging="1008"/>
      </w:pPr>
      <w:rPr>
        <w:rFonts w:hint="default"/>
      </w:rPr>
    </w:lvl>
    <w:lvl w:ilvl="5">
      <w:start w:val="1"/>
      <w:numFmt w:val="decimal"/>
      <w:lvlText w:val="%1.%2.%3.%4.%5.%6"/>
      <w:lvlJc w:val="left"/>
      <w:pPr>
        <w:ind w:left="1436" w:hanging="1152"/>
      </w:pPr>
      <w:rPr>
        <w:rFonts w:hint="default"/>
      </w:rPr>
    </w:lvl>
    <w:lvl w:ilvl="6">
      <w:start w:val="1"/>
      <w:numFmt w:val="decimal"/>
      <w:lvlText w:val="%1.%2.%3.%4.%5.%6.%7"/>
      <w:lvlJc w:val="left"/>
      <w:pPr>
        <w:ind w:left="1580" w:hanging="1296"/>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1868" w:hanging="1584"/>
      </w:pPr>
      <w:rPr>
        <w:rFonts w:hint="default"/>
      </w:rPr>
    </w:lvl>
  </w:abstractNum>
  <w:abstractNum w:abstractNumId="3" w15:restartNumberingAfterBreak="0">
    <w:nsid w:val="2118598E"/>
    <w:multiLevelType w:val="hybridMultilevel"/>
    <w:tmpl w:val="B36843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A515AD"/>
    <w:multiLevelType w:val="hybridMultilevel"/>
    <w:tmpl w:val="9F840CF6"/>
    <w:lvl w:ilvl="0" w:tplc="0C090001">
      <w:start w:val="1"/>
      <w:numFmt w:val="bullet"/>
      <w:lvlText w:val=""/>
      <w:lvlJc w:val="left"/>
      <w:pPr>
        <w:ind w:left="2289" w:hanging="360"/>
      </w:pPr>
      <w:rPr>
        <w:rFonts w:ascii="Symbol" w:hAnsi="Symbol" w:hint="default"/>
      </w:rPr>
    </w:lvl>
    <w:lvl w:ilvl="1" w:tplc="0C090003" w:tentative="1">
      <w:start w:val="1"/>
      <w:numFmt w:val="bullet"/>
      <w:lvlText w:val="o"/>
      <w:lvlJc w:val="left"/>
      <w:pPr>
        <w:ind w:left="3009" w:hanging="360"/>
      </w:pPr>
      <w:rPr>
        <w:rFonts w:ascii="Courier New" w:hAnsi="Courier New" w:cs="Courier New" w:hint="default"/>
      </w:rPr>
    </w:lvl>
    <w:lvl w:ilvl="2" w:tplc="0C090005" w:tentative="1">
      <w:start w:val="1"/>
      <w:numFmt w:val="bullet"/>
      <w:lvlText w:val=""/>
      <w:lvlJc w:val="left"/>
      <w:pPr>
        <w:ind w:left="3729" w:hanging="360"/>
      </w:pPr>
      <w:rPr>
        <w:rFonts w:ascii="Wingdings" w:hAnsi="Wingdings" w:hint="default"/>
      </w:rPr>
    </w:lvl>
    <w:lvl w:ilvl="3" w:tplc="0C090001" w:tentative="1">
      <w:start w:val="1"/>
      <w:numFmt w:val="bullet"/>
      <w:lvlText w:val=""/>
      <w:lvlJc w:val="left"/>
      <w:pPr>
        <w:ind w:left="4449" w:hanging="360"/>
      </w:pPr>
      <w:rPr>
        <w:rFonts w:ascii="Symbol" w:hAnsi="Symbol" w:hint="default"/>
      </w:rPr>
    </w:lvl>
    <w:lvl w:ilvl="4" w:tplc="0C090003" w:tentative="1">
      <w:start w:val="1"/>
      <w:numFmt w:val="bullet"/>
      <w:lvlText w:val="o"/>
      <w:lvlJc w:val="left"/>
      <w:pPr>
        <w:ind w:left="5169" w:hanging="360"/>
      </w:pPr>
      <w:rPr>
        <w:rFonts w:ascii="Courier New" w:hAnsi="Courier New" w:cs="Courier New" w:hint="default"/>
      </w:rPr>
    </w:lvl>
    <w:lvl w:ilvl="5" w:tplc="0C090005" w:tentative="1">
      <w:start w:val="1"/>
      <w:numFmt w:val="bullet"/>
      <w:lvlText w:val=""/>
      <w:lvlJc w:val="left"/>
      <w:pPr>
        <w:ind w:left="5889" w:hanging="360"/>
      </w:pPr>
      <w:rPr>
        <w:rFonts w:ascii="Wingdings" w:hAnsi="Wingdings" w:hint="default"/>
      </w:rPr>
    </w:lvl>
    <w:lvl w:ilvl="6" w:tplc="0C090001" w:tentative="1">
      <w:start w:val="1"/>
      <w:numFmt w:val="bullet"/>
      <w:lvlText w:val=""/>
      <w:lvlJc w:val="left"/>
      <w:pPr>
        <w:ind w:left="6609" w:hanging="360"/>
      </w:pPr>
      <w:rPr>
        <w:rFonts w:ascii="Symbol" w:hAnsi="Symbol" w:hint="default"/>
      </w:rPr>
    </w:lvl>
    <w:lvl w:ilvl="7" w:tplc="0C090003" w:tentative="1">
      <w:start w:val="1"/>
      <w:numFmt w:val="bullet"/>
      <w:lvlText w:val="o"/>
      <w:lvlJc w:val="left"/>
      <w:pPr>
        <w:ind w:left="7329" w:hanging="360"/>
      </w:pPr>
      <w:rPr>
        <w:rFonts w:ascii="Courier New" w:hAnsi="Courier New" w:cs="Courier New" w:hint="default"/>
      </w:rPr>
    </w:lvl>
    <w:lvl w:ilvl="8" w:tplc="0C090005" w:tentative="1">
      <w:start w:val="1"/>
      <w:numFmt w:val="bullet"/>
      <w:lvlText w:val=""/>
      <w:lvlJc w:val="left"/>
      <w:pPr>
        <w:ind w:left="8049" w:hanging="360"/>
      </w:pPr>
      <w:rPr>
        <w:rFonts w:ascii="Wingdings" w:hAnsi="Wingdings" w:hint="default"/>
      </w:rPr>
    </w:lvl>
  </w:abstractNum>
  <w:abstractNum w:abstractNumId="5" w15:restartNumberingAfterBreak="0">
    <w:nsid w:val="2D5419B9"/>
    <w:multiLevelType w:val="hybridMultilevel"/>
    <w:tmpl w:val="2274235C"/>
    <w:lvl w:ilvl="0" w:tplc="08090001">
      <w:start w:val="1"/>
      <w:numFmt w:val="bullet"/>
      <w:lvlText w:val=""/>
      <w:lvlJc w:val="left"/>
      <w:pPr>
        <w:ind w:left="2289" w:hanging="360"/>
      </w:pPr>
      <w:rPr>
        <w:rFonts w:ascii="Symbol" w:hAnsi="Symbol" w:hint="default"/>
      </w:rPr>
    </w:lvl>
    <w:lvl w:ilvl="1" w:tplc="08090003" w:tentative="1">
      <w:start w:val="1"/>
      <w:numFmt w:val="bullet"/>
      <w:lvlText w:val="o"/>
      <w:lvlJc w:val="left"/>
      <w:pPr>
        <w:ind w:left="3009" w:hanging="360"/>
      </w:pPr>
      <w:rPr>
        <w:rFonts w:ascii="Courier New" w:hAnsi="Courier New" w:cs="Courier New" w:hint="default"/>
      </w:rPr>
    </w:lvl>
    <w:lvl w:ilvl="2" w:tplc="08090005" w:tentative="1">
      <w:start w:val="1"/>
      <w:numFmt w:val="bullet"/>
      <w:lvlText w:val=""/>
      <w:lvlJc w:val="left"/>
      <w:pPr>
        <w:ind w:left="3729" w:hanging="360"/>
      </w:pPr>
      <w:rPr>
        <w:rFonts w:ascii="Wingdings" w:hAnsi="Wingdings" w:hint="default"/>
      </w:rPr>
    </w:lvl>
    <w:lvl w:ilvl="3" w:tplc="08090001" w:tentative="1">
      <w:start w:val="1"/>
      <w:numFmt w:val="bullet"/>
      <w:lvlText w:val=""/>
      <w:lvlJc w:val="left"/>
      <w:pPr>
        <w:ind w:left="4449" w:hanging="360"/>
      </w:pPr>
      <w:rPr>
        <w:rFonts w:ascii="Symbol" w:hAnsi="Symbol" w:hint="default"/>
      </w:rPr>
    </w:lvl>
    <w:lvl w:ilvl="4" w:tplc="08090003" w:tentative="1">
      <w:start w:val="1"/>
      <w:numFmt w:val="bullet"/>
      <w:lvlText w:val="o"/>
      <w:lvlJc w:val="left"/>
      <w:pPr>
        <w:ind w:left="5169" w:hanging="360"/>
      </w:pPr>
      <w:rPr>
        <w:rFonts w:ascii="Courier New" w:hAnsi="Courier New" w:cs="Courier New" w:hint="default"/>
      </w:rPr>
    </w:lvl>
    <w:lvl w:ilvl="5" w:tplc="08090005" w:tentative="1">
      <w:start w:val="1"/>
      <w:numFmt w:val="bullet"/>
      <w:lvlText w:val=""/>
      <w:lvlJc w:val="left"/>
      <w:pPr>
        <w:ind w:left="5889" w:hanging="360"/>
      </w:pPr>
      <w:rPr>
        <w:rFonts w:ascii="Wingdings" w:hAnsi="Wingdings" w:hint="default"/>
      </w:rPr>
    </w:lvl>
    <w:lvl w:ilvl="6" w:tplc="08090001" w:tentative="1">
      <w:start w:val="1"/>
      <w:numFmt w:val="bullet"/>
      <w:lvlText w:val=""/>
      <w:lvlJc w:val="left"/>
      <w:pPr>
        <w:ind w:left="6609" w:hanging="360"/>
      </w:pPr>
      <w:rPr>
        <w:rFonts w:ascii="Symbol" w:hAnsi="Symbol" w:hint="default"/>
      </w:rPr>
    </w:lvl>
    <w:lvl w:ilvl="7" w:tplc="08090003" w:tentative="1">
      <w:start w:val="1"/>
      <w:numFmt w:val="bullet"/>
      <w:lvlText w:val="o"/>
      <w:lvlJc w:val="left"/>
      <w:pPr>
        <w:ind w:left="7329" w:hanging="360"/>
      </w:pPr>
      <w:rPr>
        <w:rFonts w:ascii="Courier New" w:hAnsi="Courier New" w:cs="Courier New" w:hint="default"/>
      </w:rPr>
    </w:lvl>
    <w:lvl w:ilvl="8" w:tplc="08090005" w:tentative="1">
      <w:start w:val="1"/>
      <w:numFmt w:val="bullet"/>
      <w:lvlText w:val=""/>
      <w:lvlJc w:val="left"/>
      <w:pPr>
        <w:ind w:left="8049" w:hanging="360"/>
      </w:pPr>
      <w:rPr>
        <w:rFonts w:ascii="Wingdings" w:hAnsi="Wingdings" w:hint="default"/>
      </w:rPr>
    </w:lvl>
  </w:abstractNum>
  <w:abstractNum w:abstractNumId="6"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7" w15:restartNumberingAfterBreak="0">
    <w:nsid w:val="472B7E11"/>
    <w:multiLevelType w:val="hybridMultilevel"/>
    <w:tmpl w:val="C102F9F4"/>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8" w15:restartNumberingAfterBreak="0">
    <w:nsid w:val="48F34B75"/>
    <w:multiLevelType w:val="hybridMultilevel"/>
    <w:tmpl w:val="162281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42352A"/>
    <w:multiLevelType w:val="hybridMultilevel"/>
    <w:tmpl w:val="89B0CD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2F7D57"/>
    <w:multiLevelType w:val="hybridMultilevel"/>
    <w:tmpl w:val="A43AC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86443C"/>
    <w:multiLevelType w:val="hybridMultilevel"/>
    <w:tmpl w:val="FE34B8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460AB4"/>
    <w:multiLevelType w:val="hybridMultilevel"/>
    <w:tmpl w:val="8E9A43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542ECA"/>
    <w:multiLevelType w:val="hybridMultilevel"/>
    <w:tmpl w:val="827AED30"/>
    <w:lvl w:ilvl="0" w:tplc="0C090001">
      <w:start w:val="1"/>
      <w:numFmt w:val="bullet"/>
      <w:lvlText w:val=""/>
      <w:lvlJc w:val="left"/>
      <w:pPr>
        <w:ind w:left="1922" w:hanging="360"/>
      </w:pPr>
      <w:rPr>
        <w:rFonts w:ascii="Symbol" w:hAnsi="Symbol" w:hint="default"/>
      </w:rPr>
    </w:lvl>
    <w:lvl w:ilvl="1" w:tplc="0C090003" w:tentative="1">
      <w:start w:val="1"/>
      <w:numFmt w:val="bullet"/>
      <w:lvlText w:val="o"/>
      <w:lvlJc w:val="left"/>
      <w:pPr>
        <w:ind w:left="2642" w:hanging="360"/>
      </w:pPr>
      <w:rPr>
        <w:rFonts w:ascii="Courier New" w:hAnsi="Courier New" w:cs="Courier New" w:hint="default"/>
      </w:rPr>
    </w:lvl>
    <w:lvl w:ilvl="2" w:tplc="0C090005" w:tentative="1">
      <w:start w:val="1"/>
      <w:numFmt w:val="bullet"/>
      <w:lvlText w:val=""/>
      <w:lvlJc w:val="left"/>
      <w:pPr>
        <w:ind w:left="3362" w:hanging="360"/>
      </w:pPr>
      <w:rPr>
        <w:rFonts w:ascii="Wingdings" w:hAnsi="Wingdings" w:hint="default"/>
      </w:rPr>
    </w:lvl>
    <w:lvl w:ilvl="3" w:tplc="0C090001" w:tentative="1">
      <w:start w:val="1"/>
      <w:numFmt w:val="bullet"/>
      <w:lvlText w:val=""/>
      <w:lvlJc w:val="left"/>
      <w:pPr>
        <w:ind w:left="4082" w:hanging="360"/>
      </w:pPr>
      <w:rPr>
        <w:rFonts w:ascii="Symbol" w:hAnsi="Symbol" w:hint="default"/>
      </w:rPr>
    </w:lvl>
    <w:lvl w:ilvl="4" w:tplc="0C090003" w:tentative="1">
      <w:start w:val="1"/>
      <w:numFmt w:val="bullet"/>
      <w:lvlText w:val="o"/>
      <w:lvlJc w:val="left"/>
      <w:pPr>
        <w:ind w:left="4802" w:hanging="360"/>
      </w:pPr>
      <w:rPr>
        <w:rFonts w:ascii="Courier New" w:hAnsi="Courier New" w:cs="Courier New" w:hint="default"/>
      </w:rPr>
    </w:lvl>
    <w:lvl w:ilvl="5" w:tplc="0C090005" w:tentative="1">
      <w:start w:val="1"/>
      <w:numFmt w:val="bullet"/>
      <w:lvlText w:val=""/>
      <w:lvlJc w:val="left"/>
      <w:pPr>
        <w:ind w:left="5522" w:hanging="360"/>
      </w:pPr>
      <w:rPr>
        <w:rFonts w:ascii="Wingdings" w:hAnsi="Wingdings" w:hint="default"/>
      </w:rPr>
    </w:lvl>
    <w:lvl w:ilvl="6" w:tplc="0C090001" w:tentative="1">
      <w:start w:val="1"/>
      <w:numFmt w:val="bullet"/>
      <w:lvlText w:val=""/>
      <w:lvlJc w:val="left"/>
      <w:pPr>
        <w:ind w:left="6242" w:hanging="360"/>
      </w:pPr>
      <w:rPr>
        <w:rFonts w:ascii="Symbol" w:hAnsi="Symbol" w:hint="default"/>
      </w:rPr>
    </w:lvl>
    <w:lvl w:ilvl="7" w:tplc="0C090003" w:tentative="1">
      <w:start w:val="1"/>
      <w:numFmt w:val="bullet"/>
      <w:lvlText w:val="o"/>
      <w:lvlJc w:val="left"/>
      <w:pPr>
        <w:ind w:left="6962" w:hanging="360"/>
      </w:pPr>
      <w:rPr>
        <w:rFonts w:ascii="Courier New" w:hAnsi="Courier New" w:cs="Courier New" w:hint="default"/>
      </w:rPr>
    </w:lvl>
    <w:lvl w:ilvl="8" w:tplc="0C090005" w:tentative="1">
      <w:start w:val="1"/>
      <w:numFmt w:val="bullet"/>
      <w:lvlText w:val=""/>
      <w:lvlJc w:val="left"/>
      <w:pPr>
        <w:ind w:left="7682" w:hanging="360"/>
      </w:pPr>
      <w:rPr>
        <w:rFonts w:ascii="Wingdings" w:hAnsi="Wingdings" w:hint="default"/>
      </w:rPr>
    </w:lvl>
  </w:abstractNum>
  <w:abstractNum w:abstractNumId="14" w15:restartNumberingAfterBreak="0">
    <w:nsid w:val="66E94C99"/>
    <w:multiLevelType w:val="hybridMultilevel"/>
    <w:tmpl w:val="96A48AD4"/>
    <w:lvl w:ilvl="0" w:tplc="1930C030">
      <w:start w:val="1"/>
      <w:numFmt w:val="decimal"/>
      <w:lvlText w:val="%1."/>
      <w:lvlJc w:val="left"/>
      <w:pPr>
        <w:ind w:left="1080" w:hanging="360"/>
      </w:pPr>
      <w:rPr>
        <w:rFonts w:hint="default"/>
      </w:rPr>
    </w:lvl>
    <w:lvl w:ilvl="1" w:tplc="9A566290" w:tentative="1">
      <w:start w:val="1"/>
      <w:numFmt w:val="lowerLetter"/>
      <w:lvlText w:val="%2."/>
      <w:lvlJc w:val="left"/>
      <w:pPr>
        <w:ind w:left="1800" w:hanging="360"/>
      </w:pPr>
    </w:lvl>
    <w:lvl w:ilvl="2" w:tplc="B12C7158" w:tentative="1">
      <w:start w:val="1"/>
      <w:numFmt w:val="lowerRoman"/>
      <w:lvlText w:val="%3."/>
      <w:lvlJc w:val="right"/>
      <w:pPr>
        <w:ind w:left="2520" w:hanging="180"/>
      </w:pPr>
    </w:lvl>
    <w:lvl w:ilvl="3" w:tplc="A46E8286" w:tentative="1">
      <w:start w:val="1"/>
      <w:numFmt w:val="decimal"/>
      <w:lvlText w:val="%4."/>
      <w:lvlJc w:val="left"/>
      <w:pPr>
        <w:ind w:left="3240" w:hanging="360"/>
      </w:pPr>
    </w:lvl>
    <w:lvl w:ilvl="4" w:tplc="D4820912" w:tentative="1">
      <w:start w:val="1"/>
      <w:numFmt w:val="lowerLetter"/>
      <w:lvlText w:val="%5."/>
      <w:lvlJc w:val="left"/>
      <w:pPr>
        <w:ind w:left="3960" w:hanging="360"/>
      </w:pPr>
    </w:lvl>
    <w:lvl w:ilvl="5" w:tplc="465469B2" w:tentative="1">
      <w:start w:val="1"/>
      <w:numFmt w:val="lowerRoman"/>
      <w:lvlText w:val="%6."/>
      <w:lvlJc w:val="right"/>
      <w:pPr>
        <w:ind w:left="4680" w:hanging="180"/>
      </w:pPr>
    </w:lvl>
    <w:lvl w:ilvl="6" w:tplc="30B2A6B6" w:tentative="1">
      <w:start w:val="1"/>
      <w:numFmt w:val="decimal"/>
      <w:lvlText w:val="%7."/>
      <w:lvlJc w:val="left"/>
      <w:pPr>
        <w:ind w:left="5400" w:hanging="360"/>
      </w:pPr>
    </w:lvl>
    <w:lvl w:ilvl="7" w:tplc="1F5ED294" w:tentative="1">
      <w:start w:val="1"/>
      <w:numFmt w:val="lowerLetter"/>
      <w:lvlText w:val="%8."/>
      <w:lvlJc w:val="left"/>
      <w:pPr>
        <w:ind w:left="6120" w:hanging="360"/>
      </w:pPr>
    </w:lvl>
    <w:lvl w:ilvl="8" w:tplc="0246ADB2" w:tentative="1">
      <w:start w:val="1"/>
      <w:numFmt w:val="lowerRoman"/>
      <w:lvlText w:val="%9."/>
      <w:lvlJc w:val="right"/>
      <w:pPr>
        <w:ind w:left="6840" w:hanging="180"/>
      </w:pPr>
    </w:lvl>
  </w:abstractNum>
  <w:abstractNum w:abstractNumId="15" w15:restartNumberingAfterBreak="0">
    <w:nsid w:val="6ACC6AFB"/>
    <w:multiLevelType w:val="hybridMultilevel"/>
    <w:tmpl w:val="CE4E3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114935"/>
    <w:multiLevelType w:val="hybridMultilevel"/>
    <w:tmpl w:val="7DDC0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8" w15:restartNumberingAfterBreak="0">
    <w:nsid w:val="7F71686D"/>
    <w:multiLevelType w:val="hybridMultilevel"/>
    <w:tmpl w:val="23140E70"/>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num w:numId="1" w16cid:durableId="324742682">
    <w:abstractNumId w:val="16"/>
  </w:num>
  <w:num w:numId="2" w16cid:durableId="283772686">
    <w:abstractNumId w:val="6"/>
  </w:num>
  <w:num w:numId="3" w16cid:durableId="1684167080">
    <w:abstractNumId w:val="0"/>
  </w:num>
  <w:num w:numId="4" w16cid:durableId="700133551">
    <w:abstractNumId w:val="14"/>
  </w:num>
  <w:num w:numId="5" w16cid:durableId="1561938236">
    <w:abstractNumId w:val="2"/>
  </w:num>
  <w:num w:numId="6" w16cid:durableId="1860318643">
    <w:abstractNumId w:val="7"/>
  </w:num>
  <w:num w:numId="7" w16cid:durableId="812600804">
    <w:abstractNumId w:val="18"/>
  </w:num>
  <w:num w:numId="8" w16cid:durableId="551231497">
    <w:abstractNumId w:val="11"/>
  </w:num>
  <w:num w:numId="9" w16cid:durableId="1031150081">
    <w:abstractNumId w:val="9"/>
  </w:num>
  <w:num w:numId="10" w16cid:durableId="1858345750">
    <w:abstractNumId w:val="3"/>
  </w:num>
  <w:num w:numId="11" w16cid:durableId="2074542784">
    <w:abstractNumId w:val="10"/>
  </w:num>
  <w:num w:numId="12" w16cid:durableId="1604025212">
    <w:abstractNumId w:val="12"/>
  </w:num>
  <w:num w:numId="13" w16cid:durableId="1495604518">
    <w:abstractNumId w:val="8"/>
  </w:num>
  <w:num w:numId="14" w16cid:durableId="1636138238">
    <w:abstractNumId w:val="4"/>
  </w:num>
  <w:num w:numId="15" w16cid:durableId="280571527">
    <w:abstractNumId w:val="13"/>
  </w:num>
  <w:num w:numId="16" w16cid:durableId="1124276011">
    <w:abstractNumId w:val="1"/>
  </w:num>
  <w:num w:numId="17" w16cid:durableId="270865957">
    <w:abstractNumId w:val="5"/>
  </w:num>
  <w:num w:numId="18" w16cid:durableId="1823309608">
    <w:abstractNumId w:val="15"/>
  </w:num>
  <w:num w:numId="19" w16cid:durableId="712770692">
    <w:abstractNumId w:val="1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6F"/>
    <w:rsid w:val="000015C9"/>
    <w:rsid w:val="00001D79"/>
    <w:rsid w:val="00002F8B"/>
    <w:rsid w:val="00003555"/>
    <w:rsid w:val="00003616"/>
    <w:rsid w:val="000036BF"/>
    <w:rsid w:val="0000647E"/>
    <w:rsid w:val="00006558"/>
    <w:rsid w:val="00010B3A"/>
    <w:rsid w:val="00011EA6"/>
    <w:rsid w:val="0001451C"/>
    <w:rsid w:val="000229A0"/>
    <w:rsid w:val="00027BAA"/>
    <w:rsid w:val="00031A54"/>
    <w:rsid w:val="0004139F"/>
    <w:rsid w:val="000418AF"/>
    <w:rsid w:val="000422EB"/>
    <w:rsid w:val="00043885"/>
    <w:rsid w:val="00046F68"/>
    <w:rsid w:val="0005180E"/>
    <w:rsid w:val="0005387D"/>
    <w:rsid w:val="00053C1C"/>
    <w:rsid w:val="000540E2"/>
    <w:rsid w:val="0006273E"/>
    <w:rsid w:val="00065232"/>
    <w:rsid w:val="00067F59"/>
    <w:rsid w:val="000807C1"/>
    <w:rsid w:val="0008281F"/>
    <w:rsid w:val="000874CF"/>
    <w:rsid w:val="000910D8"/>
    <w:rsid w:val="000932F9"/>
    <w:rsid w:val="00094BB4"/>
    <w:rsid w:val="000A5218"/>
    <w:rsid w:val="000B25E0"/>
    <w:rsid w:val="000B7250"/>
    <w:rsid w:val="000B7478"/>
    <w:rsid w:val="000D1B5F"/>
    <w:rsid w:val="000D32FE"/>
    <w:rsid w:val="000D4BB5"/>
    <w:rsid w:val="000E2C72"/>
    <w:rsid w:val="000E5DCB"/>
    <w:rsid w:val="000F54F2"/>
    <w:rsid w:val="000F609B"/>
    <w:rsid w:val="000F7EA9"/>
    <w:rsid w:val="00103276"/>
    <w:rsid w:val="00111CAF"/>
    <w:rsid w:val="00112C87"/>
    <w:rsid w:val="001151DE"/>
    <w:rsid w:val="001211D0"/>
    <w:rsid w:val="001212D3"/>
    <w:rsid w:val="00123DC3"/>
    <w:rsid w:val="0013492D"/>
    <w:rsid w:val="0013527E"/>
    <w:rsid w:val="00144524"/>
    <w:rsid w:val="00144B58"/>
    <w:rsid w:val="0015355F"/>
    <w:rsid w:val="00153BC3"/>
    <w:rsid w:val="00155741"/>
    <w:rsid w:val="00156EDE"/>
    <w:rsid w:val="00160917"/>
    <w:rsid w:val="001707DE"/>
    <w:rsid w:val="00176796"/>
    <w:rsid w:val="0018716F"/>
    <w:rsid w:val="001872DE"/>
    <w:rsid w:val="00190D96"/>
    <w:rsid w:val="0019274D"/>
    <w:rsid w:val="00192A70"/>
    <w:rsid w:val="00195117"/>
    <w:rsid w:val="001968E4"/>
    <w:rsid w:val="001B182D"/>
    <w:rsid w:val="001B2529"/>
    <w:rsid w:val="001B382E"/>
    <w:rsid w:val="001C0E6C"/>
    <w:rsid w:val="001C3023"/>
    <w:rsid w:val="001C3EC2"/>
    <w:rsid w:val="001C5799"/>
    <w:rsid w:val="001C5E7C"/>
    <w:rsid w:val="001C74E6"/>
    <w:rsid w:val="001D570B"/>
    <w:rsid w:val="001D5D0B"/>
    <w:rsid w:val="001E133B"/>
    <w:rsid w:val="001E24BC"/>
    <w:rsid w:val="001E2EE7"/>
    <w:rsid w:val="001E3787"/>
    <w:rsid w:val="001F11A2"/>
    <w:rsid w:val="001F766C"/>
    <w:rsid w:val="002022BD"/>
    <w:rsid w:val="002107A1"/>
    <w:rsid w:val="00210B8F"/>
    <w:rsid w:val="002118AC"/>
    <w:rsid w:val="00211CB9"/>
    <w:rsid w:val="002175A8"/>
    <w:rsid w:val="00225B75"/>
    <w:rsid w:val="002272B0"/>
    <w:rsid w:val="00227CD6"/>
    <w:rsid w:val="00231296"/>
    <w:rsid w:val="002325D2"/>
    <w:rsid w:val="002326CE"/>
    <w:rsid w:val="00233B29"/>
    <w:rsid w:val="00234062"/>
    <w:rsid w:val="002377D3"/>
    <w:rsid w:val="00251DFC"/>
    <w:rsid w:val="002547A2"/>
    <w:rsid w:val="00261CCE"/>
    <w:rsid w:val="00263A46"/>
    <w:rsid w:val="00266A95"/>
    <w:rsid w:val="00267A90"/>
    <w:rsid w:val="002761F3"/>
    <w:rsid w:val="00281D4F"/>
    <w:rsid w:val="00290C89"/>
    <w:rsid w:val="00291A6C"/>
    <w:rsid w:val="00291E1F"/>
    <w:rsid w:val="0029635F"/>
    <w:rsid w:val="002A0DB2"/>
    <w:rsid w:val="002A4A5C"/>
    <w:rsid w:val="002B59B5"/>
    <w:rsid w:val="002B653E"/>
    <w:rsid w:val="002B6721"/>
    <w:rsid w:val="002B7F2F"/>
    <w:rsid w:val="002B7FA7"/>
    <w:rsid w:val="002C0136"/>
    <w:rsid w:val="002C0737"/>
    <w:rsid w:val="002C18B9"/>
    <w:rsid w:val="002C1F01"/>
    <w:rsid w:val="002C56A1"/>
    <w:rsid w:val="002C57A7"/>
    <w:rsid w:val="002D2639"/>
    <w:rsid w:val="002D3198"/>
    <w:rsid w:val="002E1C2F"/>
    <w:rsid w:val="002E225A"/>
    <w:rsid w:val="002E29D6"/>
    <w:rsid w:val="002E6DF2"/>
    <w:rsid w:val="003003E2"/>
    <w:rsid w:val="0030052C"/>
    <w:rsid w:val="00300A19"/>
    <w:rsid w:val="00305986"/>
    <w:rsid w:val="00310816"/>
    <w:rsid w:val="003131D6"/>
    <w:rsid w:val="003134D5"/>
    <w:rsid w:val="00320A39"/>
    <w:rsid w:val="00324BA6"/>
    <w:rsid w:val="00332513"/>
    <w:rsid w:val="00340024"/>
    <w:rsid w:val="00345FA7"/>
    <w:rsid w:val="00346BBE"/>
    <w:rsid w:val="0035490C"/>
    <w:rsid w:val="00363A3F"/>
    <w:rsid w:val="003651EC"/>
    <w:rsid w:val="003675F4"/>
    <w:rsid w:val="00380C49"/>
    <w:rsid w:val="003818B0"/>
    <w:rsid w:val="00385C88"/>
    <w:rsid w:val="0039244D"/>
    <w:rsid w:val="003A360E"/>
    <w:rsid w:val="003A41C2"/>
    <w:rsid w:val="003A4375"/>
    <w:rsid w:val="003A461D"/>
    <w:rsid w:val="003A624A"/>
    <w:rsid w:val="003B2368"/>
    <w:rsid w:val="003B2C4E"/>
    <w:rsid w:val="003B6400"/>
    <w:rsid w:val="003C2AB2"/>
    <w:rsid w:val="003D177C"/>
    <w:rsid w:val="003D1990"/>
    <w:rsid w:val="003E2E40"/>
    <w:rsid w:val="003F106F"/>
    <w:rsid w:val="003F115A"/>
    <w:rsid w:val="003F24E3"/>
    <w:rsid w:val="00400490"/>
    <w:rsid w:val="0040602B"/>
    <w:rsid w:val="00413B3A"/>
    <w:rsid w:val="00424791"/>
    <w:rsid w:val="0043394A"/>
    <w:rsid w:val="00434080"/>
    <w:rsid w:val="00442DDE"/>
    <w:rsid w:val="00443666"/>
    <w:rsid w:val="00443DD6"/>
    <w:rsid w:val="0044433A"/>
    <w:rsid w:val="00462428"/>
    <w:rsid w:val="004849E0"/>
    <w:rsid w:val="00484ABB"/>
    <w:rsid w:val="00485B6D"/>
    <w:rsid w:val="00491457"/>
    <w:rsid w:val="00491A6C"/>
    <w:rsid w:val="00495525"/>
    <w:rsid w:val="004A07BF"/>
    <w:rsid w:val="004A73D5"/>
    <w:rsid w:val="004B140B"/>
    <w:rsid w:val="004B5BA6"/>
    <w:rsid w:val="004C011D"/>
    <w:rsid w:val="004D4AC7"/>
    <w:rsid w:val="004D6CE5"/>
    <w:rsid w:val="004D6F20"/>
    <w:rsid w:val="004E57EE"/>
    <w:rsid w:val="004E7F79"/>
    <w:rsid w:val="00500B08"/>
    <w:rsid w:val="005039E2"/>
    <w:rsid w:val="005051B6"/>
    <w:rsid w:val="005074CE"/>
    <w:rsid w:val="00514640"/>
    <w:rsid w:val="005201D6"/>
    <w:rsid w:val="00523AA3"/>
    <w:rsid w:val="0052517D"/>
    <w:rsid w:val="00526E80"/>
    <w:rsid w:val="00531A60"/>
    <w:rsid w:val="005325FC"/>
    <w:rsid w:val="00536C16"/>
    <w:rsid w:val="005404C0"/>
    <w:rsid w:val="00541F5B"/>
    <w:rsid w:val="005438D7"/>
    <w:rsid w:val="00544D0A"/>
    <w:rsid w:val="00546EC2"/>
    <w:rsid w:val="00547072"/>
    <w:rsid w:val="00547C4F"/>
    <w:rsid w:val="00552583"/>
    <w:rsid w:val="00552DB6"/>
    <w:rsid w:val="0055394C"/>
    <w:rsid w:val="00557123"/>
    <w:rsid w:val="00566E47"/>
    <w:rsid w:val="00570591"/>
    <w:rsid w:val="005801E3"/>
    <w:rsid w:val="00582706"/>
    <w:rsid w:val="0058320D"/>
    <w:rsid w:val="005861D8"/>
    <w:rsid w:val="00586FC2"/>
    <w:rsid w:val="00592E90"/>
    <w:rsid w:val="00595E2E"/>
    <w:rsid w:val="00597364"/>
    <w:rsid w:val="005A1C07"/>
    <w:rsid w:val="005A2D07"/>
    <w:rsid w:val="005A4C51"/>
    <w:rsid w:val="005B2A5F"/>
    <w:rsid w:val="005B3624"/>
    <w:rsid w:val="005B5483"/>
    <w:rsid w:val="005C02B0"/>
    <w:rsid w:val="005C3AD6"/>
    <w:rsid w:val="005C7E5B"/>
    <w:rsid w:val="005D0579"/>
    <w:rsid w:val="005D195D"/>
    <w:rsid w:val="005D3F0D"/>
    <w:rsid w:val="005D49BF"/>
    <w:rsid w:val="005D544D"/>
    <w:rsid w:val="005D771C"/>
    <w:rsid w:val="005E45B8"/>
    <w:rsid w:val="005E482A"/>
    <w:rsid w:val="005E7171"/>
    <w:rsid w:val="005F39B9"/>
    <w:rsid w:val="00600487"/>
    <w:rsid w:val="00602905"/>
    <w:rsid w:val="00604105"/>
    <w:rsid w:val="0060444E"/>
    <w:rsid w:val="006057A9"/>
    <w:rsid w:val="00612D55"/>
    <w:rsid w:val="0061366A"/>
    <w:rsid w:val="0061436C"/>
    <w:rsid w:val="00614BE4"/>
    <w:rsid w:val="00617EF7"/>
    <w:rsid w:val="00617FE4"/>
    <w:rsid w:val="00620EB7"/>
    <w:rsid w:val="0062107D"/>
    <w:rsid w:val="0062182B"/>
    <w:rsid w:val="00625E2A"/>
    <w:rsid w:val="00636986"/>
    <w:rsid w:val="00641562"/>
    <w:rsid w:val="006470AE"/>
    <w:rsid w:val="00652F96"/>
    <w:rsid w:val="0066362F"/>
    <w:rsid w:val="00664FBC"/>
    <w:rsid w:val="00682B86"/>
    <w:rsid w:val="00682B8A"/>
    <w:rsid w:val="00695350"/>
    <w:rsid w:val="006A5CD0"/>
    <w:rsid w:val="006B6C93"/>
    <w:rsid w:val="006C53CE"/>
    <w:rsid w:val="006C5D4E"/>
    <w:rsid w:val="006C7CBC"/>
    <w:rsid w:val="006C7E82"/>
    <w:rsid w:val="006D049D"/>
    <w:rsid w:val="006D47E2"/>
    <w:rsid w:val="006D5A42"/>
    <w:rsid w:val="006F4114"/>
    <w:rsid w:val="006F65C6"/>
    <w:rsid w:val="007021A5"/>
    <w:rsid w:val="00705637"/>
    <w:rsid w:val="00705D3D"/>
    <w:rsid w:val="007134FE"/>
    <w:rsid w:val="0071356C"/>
    <w:rsid w:val="00713833"/>
    <w:rsid w:val="00714BF1"/>
    <w:rsid w:val="00721000"/>
    <w:rsid w:val="00730702"/>
    <w:rsid w:val="007309C8"/>
    <w:rsid w:val="00742DF2"/>
    <w:rsid w:val="007436B2"/>
    <w:rsid w:val="0075736B"/>
    <w:rsid w:val="00762AE7"/>
    <w:rsid w:val="00770E49"/>
    <w:rsid w:val="00770EB6"/>
    <w:rsid w:val="007737D7"/>
    <w:rsid w:val="00783C3C"/>
    <w:rsid w:val="00790D12"/>
    <w:rsid w:val="007945A7"/>
    <w:rsid w:val="007A1338"/>
    <w:rsid w:val="007A34C4"/>
    <w:rsid w:val="007B20E1"/>
    <w:rsid w:val="007B685D"/>
    <w:rsid w:val="007C3351"/>
    <w:rsid w:val="007D2C6F"/>
    <w:rsid w:val="007D38F7"/>
    <w:rsid w:val="007D3D15"/>
    <w:rsid w:val="007E5D31"/>
    <w:rsid w:val="007F0A79"/>
    <w:rsid w:val="007F1BA9"/>
    <w:rsid w:val="008046FE"/>
    <w:rsid w:val="00807E9B"/>
    <w:rsid w:val="00811ACB"/>
    <w:rsid w:val="0081297E"/>
    <w:rsid w:val="00816776"/>
    <w:rsid w:val="00823A67"/>
    <w:rsid w:val="008256EC"/>
    <w:rsid w:val="00825EBD"/>
    <w:rsid w:val="008402F6"/>
    <w:rsid w:val="00842781"/>
    <w:rsid w:val="008445CD"/>
    <w:rsid w:val="00845329"/>
    <w:rsid w:val="0084699D"/>
    <w:rsid w:val="00851C82"/>
    <w:rsid w:val="0085320A"/>
    <w:rsid w:val="00866000"/>
    <w:rsid w:val="00873DB1"/>
    <w:rsid w:val="00875A72"/>
    <w:rsid w:val="00882B96"/>
    <w:rsid w:val="00885888"/>
    <w:rsid w:val="0088622E"/>
    <w:rsid w:val="008906D7"/>
    <w:rsid w:val="008928C5"/>
    <w:rsid w:val="00894568"/>
    <w:rsid w:val="0089735D"/>
    <w:rsid w:val="008A00E0"/>
    <w:rsid w:val="008A5CEE"/>
    <w:rsid w:val="008A7F3A"/>
    <w:rsid w:val="008B3943"/>
    <w:rsid w:val="008B5812"/>
    <w:rsid w:val="008B5DB3"/>
    <w:rsid w:val="008C4447"/>
    <w:rsid w:val="008C75DA"/>
    <w:rsid w:val="008D6342"/>
    <w:rsid w:val="008D7A32"/>
    <w:rsid w:val="008E2D59"/>
    <w:rsid w:val="008E64A6"/>
    <w:rsid w:val="008F0442"/>
    <w:rsid w:val="008F2E0F"/>
    <w:rsid w:val="008F39A9"/>
    <w:rsid w:val="008F41F0"/>
    <w:rsid w:val="008F4DDB"/>
    <w:rsid w:val="008F6AB8"/>
    <w:rsid w:val="0090142F"/>
    <w:rsid w:val="00901D6C"/>
    <w:rsid w:val="00902828"/>
    <w:rsid w:val="00903CAD"/>
    <w:rsid w:val="009042BF"/>
    <w:rsid w:val="00907DC2"/>
    <w:rsid w:val="00914316"/>
    <w:rsid w:val="009148CB"/>
    <w:rsid w:val="0091580C"/>
    <w:rsid w:val="00915C0F"/>
    <w:rsid w:val="009200CA"/>
    <w:rsid w:val="009201ED"/>
    <w:rsid w:val="009278E8"/>
    <w:rsid w:val="00933457"/>
    <w:rsid w:val="00935F73"/>
    <w:rsid w:val="0094051D"/>
    <w:rsid w:val="00942845"/>
    <w:rsid w:val="0094323F"/>
    <w:rsid w:val="00950792"/>
    <w:rsid w:val="00953225"/>
    <w:rsid w:val="00954F05"/>
    <w:rsid w:val="00956F13"/>
    <w:rsid w:val="00963BEA"/>
    <w:rsid w:val="00967EED"/>
    <w:rsid w:val="00971390"/>
    <w:rsid w:val="009800AA"/>
    <w:rsid w:val="00986F45"/>
    <w:rsid w:val="00993C21"/>
    <w:rsid w:val="00997B40"/>
    <w:rsid w:val="009A0361"/>
    <w:rsid w:val="009A3A90"/>
    <w:rsid w:val="009B503C"/>
    <w:rsid w:val="009C4132"/>
    <w:rsid w:val="009C6BBA"/>
    <w:rsid w:val="009C7596"/>
    <w:rsid w:val="009E0E4B"/>
    <w:rsid w:val="009E4A15"/>
    <w:rsid w:val="009F292E"/>
    <w:rsid w:val="009F3A36"/>
    <w:rsid w:val="009F7E87"/>
    <w:rsid w:val="00A012FE"/>
    <w:rsid w:val="00A27722"/>
    <w:rsid w:val="00A3478B"/>
    <w:rsid w:val="00A407FB"/>
    <w:rsid w:val="00A5692E"/>
    <w:rsid w:val="00A63027"/>
    <w:rsid w:val="00A64162"/>
    <w:rsid w:val="00A6442C"/>
    <w:rsid w:val="00A65BAF"/>
    <w:rsid w:val="00A67950"/>
    <w:rsid w:val="00A731A4"/>
    <w:rsid w:val="00A735C5"/>
    <w:rsid w:val="00A74AD3"/>
    <w:rsid w:val="00A7572F"/>
    <w:rsid w:val="00A75A4A"/>
    <w:rsid w:val="00A809B5"/>
    <w:rsid w:val="00A83492"/>
    <w:rsid w:val="00A84379"/>
    <w:rsid w:val="00A87F3E"/>
    <w:rsid w:val="00A91138"/>
    <w:rsid w:val="00A91A8B"/>
    <w:rsid w:val="00A931FB"/>
    <w:rsid w:val="00A96A0D"/>
    <w:rsid w:val="00AA2E34"/>
    <w:rsid w:val="00AB03B4"/>
    <w:rsid w:val="00AB487E"/>
    <w:rsid w:val="00AB62B7"/>
    <w:rsid w:val="00AD315E"/>
    <w:rsid w:val="00AD6407"/>
    <w:rsid w:val="00AD7F08"/>
    <w:rsid w:val="00AF0FFE"/>
    <w:rsid w:val="00B04562"/>
    <w:rsid w:val="00B0466B"/>
    <w:rsid w:val="00B062BB"/>
    <w:rsid w:val="00B12781"/>
    <w:rsid w:val="00B1504E"/>
    <w:rsid w:val="00B170D7"/>
    <w:rsid w:val="00B17B7B"/>
    <w:rsid w:val="00B22BB2"/>
    <w:rsid w:val="00B23CF8"/>
    <w:rsid w:val="00B257DB"/>
    <w:rsid w:val="00B3133C"/>
    <w:rsid w:val="00B32A92"/>
    <w:rsid w:val="00B33987"/>
    <w:rsid w:val="00B35729"/>
    <w:rsid w:val="00B3706C"/>
    <w:rsid w:val="00B417BC"/>
    <w:rsid w:val="00B43F5B"/>
    <w:rsid w:val="00B529A7"/>
    <w:rsid w:val="00B53FC9"/>
    <w:rsid w:val="00B573DF"/>
    <w:rsid w:val="00B6462D"/>
    <w:rsid w:val="00B65390"/>
    <w:rsid w:val="00B72402"/>
    <w:rsid w:val="00B7489D"/>
    <w:rsid w:val="00B817C6"/>
    <w:rsid w:val="00B90FA2"/>
    <w:rsid w:val="00BA276E"/>
    <w:rsid w:val="00BA6702"/>
    <w:rsid w:val="00BA6F92"/>
    <w:rsid w:val="00BA7B6B"/>
    <w:rsid w:val="00BB327C"/>
    <w:rsid w:val="00BB4144"/>
    <w:rsid w:val="00BC4405"/>
    <w:rsid w:val="00BC6103"/>
    <w:rsid w:val="00BD1D4A"/>
    <w:rsid w:val="00BD2EA8"/>
    <w:rsid w:val="00BE1326"/>
    <w:rsid w:val="00BE6471"/>
    <w:rsid w:val="00BE708C"/>
    <w:rsid w:val="00BF6636"/>
    <w:rsid w:val="00C03CAB"/>
    <w:rsid w:val="00C053E4"/>
    <w:rsid w:val="00C060CF"/>
    <w:rsid w:val="00C06D67"/>
    <w:rsid w:val="00C101E8"/>
    <w:rsid w:val="00C11CCB"/>
    <w:rsid w:val="00C14E66"/>
    <w:rsid w:val="00C217F6"/>
    <w:rsid w:val="00C24F44"/>
    <w:rsid w:val="00C2752D"/>
    <w:rsid w:val="00C30C31"/>
    <w:rsid w:val="00C32AB2"/>
    <w:rsid w:val="00C37C5B"/>
    <w:rsid w:val="00C4018F"/>
    <w:rsid w:val="00C401CD"/>
    <w:rsid w:val="00C55B03"/>
    <w:rsid w:val="00C56013"/>
    <w:rsid w:val="00C56186"/>
    <w:rsid w:val="00C614C5"/>
    <w:rsid w:val="00C6319D"/>
    <w:rsid w:val="00C701DC"/>
    <w:rsid w:val="00C804FF"/>
    <w:rsid w:val="00C80CBE"/>
    <w:rsid w:val="00C842E4"/>
    <w:rsid w:val="00C91D29"/>
    <w:rsid w:val="00C94435"/>
    <w:rsid w:val="00C954A0"/>
    <w:rsid w:val="00C96767"/>
    <w:rsid w:val="00C97D3B"/>
    <w:rsid w:val="00CA2215"/>
    <w:rsid w:val="00CA375B"/>
    <w:rsid w:val="00CA577A"/>
    <w:rsid w:val="00CB0604"/>
    <w:rsid w:val="00CB6EE9"/>
    <w:rsid w:val="00CC1A2E"/>
    <w:rsid w:val="00CC574D"/>
    <w:rsid w:val="00CD1AE1"/>
    <w:rsid w:val="00CD20C0"/>
    <w:rsid w:val="00CE0282"/>
    <w:rsid w:val="00CE0F15"/>
    <w:rsid w:val="00CE1DE9"/>
    <w:rsid w:val="00CE44D0"/>
    <w:rsid w:val="00CE544B"/>
    <w:rsid w:val="00CF1C9E"/>
    <w:rsid w:val="00CF2110"/>
    <w:rsid w:val="00D04995"/>
    <w:rsid w:val="00D10766"/>
    <w:rsid w:val="00D10ED1"/>
    <w:rsid w:val="00D1198B"/>
    <w:rsid w:val="00D1439F"/>
    <w:rsid w:val="00D24886"/>
    <w:rsid w:val="00D26065"/>
    <w:rsid w:val="00D27442"/>
    <w:rsid w:val="00D32236"/>
    <w:rsid w:val="00D35E78"/>
    <w:rsid w:val="00D372E7"/>
    <w:rsid w:val="00D407D8"/>
    <w:rsid w:val="00D5785F"/>
    <w:rsid w:val="00D57D12"/>
    <w:rsid w:val="00D61BE6"/>
    <w:rsid w:val="00D61ED7"/>
    <w:rsid w:val="00D63B4C"/>
    <w:rsid w:val="00D64C70"/>
    <w:rsid w:val="00D66EA0"/>
    <w:rsid w:val="00D67EEB"/>
    <w:rsid w:val="00D70FA1"/>
    <w:rsid w:val="00D71328"/>
    <w:rsid w:val="00D7472E"/>
    <w:rsid w:val="00D77D7B"/>
    <w:rsid w:val="00D830B8"/>
    <w:rsid w:val="00D83E14"/>
    <w:rsid w:val="00D908A0"/>
    <w:rsid w:val="00D92206"/>
    <w:rsid w:val="00DA4932"/>
    <w:rsid w:val="00DA660F"/>
    <w:rsid w:val="00DB7C4D"/>
    <w:rsid w:val="00DC07C0"/>
    <w:rsid w:val="00DC1EB8"/>
    <w:rsid w:val="00DC1F16"/>
    <w:rsid w:val="00DC215D"/>
    <w:rsid w:val="00DC248A"/>
    <w:rsid w:val="00DC2836"/>
    <w:rsid w:val="00DC358D"/>
    <w:rsid w:val="00DC418A"/>
    <w:rsid w:val="00DC6257"/>
    <w:rsid w:val="00DD0780"/>
    <w:rsid w:val="00DD1990"/>
    <w:rsid w:val="00DE03D6"/>
    <w:rsid w:val="00DE2D3C"/>
    <w:rsid w:val="00DE5F79"/>
    <w:rsid w:val="00DF0EBF"/>
    <w:rsid w:val="00DF422E"/>
    <w:rsid w:val="00E00417"/>
    <w:rsid w:val="00E00A59"/>
    <w:rsid w:val="00E171EF"/>
    <w:rsid w:val="00E1782D"/>
    <w:rsid w:val="00E20895"/>
    <w:rsid w:val="00E253AE"/>
    <w:rsid w:val="00E2598F"/>
    <w:rsid w:val="00E34D86"/>
    <w:rsid w:val="00E425D5"/>
    <w:rsid w:val="00E4328C"/>
    <w:rsid w:val="00E438AE"/>
    <w:rsid w:val="00E44F0B"/>
    <w:rsid w:val="00E46382"/>
    <w:rsid w:val="00E6297D"/>
    <w:rsid w:val="00E73B86"/>
    <w:rsid w:val="00E76C83"/>
    <w:rsid w:val="00E817F5"/>
    <w:rsid w:val="00E85757"/>
    <w:rsid w:val="00E8627D"/>
    <w:rsid w:val="00E8696B"/>
    <w:rsid w:val="00E9053D"/>
    <w:rsid w:val="00E91DE4"/>
    <w:rsid w:val="00E91F77"/>
    <w:rsid w:val="00E9569C"/>
    <w:rsid w:val="00E95CD5"/>
    <w:rsid w:val="00EA514A"/>
    <w:rsid w:val="00EA6AAB"/>
    <w:rsid w:val="00EB0ED5"/>
    <w:rsid w:val="00EB3BDB"/>
    <w:rsid w:val="00EC09B1"/>
    <w:rsid w:val="00EC4EB4"/>
    <w:rsid w:val="00ED1225"/>
    <w:rsid w:val="00ED3A6E"/>
    <w:rsid w:val="00EF0CF5"/>
    <w:rsid w:val="00EF32C9"/>
    <w:rsid w:val="00EF5D2A"/>
    <w:rsid w:val="00F13C33"/>
    <w:rsid w:val="00F15511"/>
    <w:rsid w:val="00F179DB"/>
    <w:rsid w:val="00F25126"/>
    <w:rsid w:val="00F254BF"/>
    <w:rsid w:val="00F302FB"/>
    <w:rsid w:val="00F32FA8"/>
    <w:rsid w:val="00F34819"/>
    <w:rsid w:val="00F37726"/>
    <w:rsid w:val="00F42D40"/>
    <w:rsid w:val="00F44E31"/>
    <w:rsid w:val="00F469F1"/>
    <w:rsid w:val="00F51F7D"/>
    <w:rsid w:val="00F52BB0"/>
    <w:rsid w:val="00F55FA7"/>
    <w:rsid w:val="00F60A95"/>
    <w:rsid w:val="00F613FA"/>
    <w:rsid w:val="00F6482F"/>
    <w:rsid w:val="00F66E2D"/>
    <w:rsid w:val="00F75161"/>
    <w:rsid w:val="00F7525C"/>
    <w:rsid w:val="00F7577B"/>
    <w:rsid w:val="00F75E3C"/>
    <w:rsid w:val="00F86BC8"/>
    <w:rsid w:val="00F9007A"/>
    <w:rsid w:val="00F9094A"/>
    <w:rsid w:val="00F91EA7"/>
    <w:rsid w:val="00F93289"/>
    <w:rsid w:val="00F94178"/>
    <w:rsid w:val="00F9526D"/>
    <w:rsid w:val="00F965E0"/>
    <w:rsid w:val="00FA140F"/>
    <w:rsid w:val="00FA330E"/>
    <w:rsid w:val="00FA4E56"/>
    <w:rsid w:val="00FC36B4"/>
    <w:rsid w:val="00FC3CE2"/>
    <w:rsid w:val="00FC52AC"/>
    <w:rsid w:val="00FC564C"/>
    <w:rsid w:val="00FC6DEE"/>
    <w:rsid w:val="00FD437B"/>
    <w:rsid w:val="00FD7AC0"/>
    <w:rsid w:val="00FE0D5E"/>
    <w:rsid w:val="00FE195E"/>
    <w:rsid w:val="00FF40E0"/>
    <w:rsid w:val="00FF61E7"/>
    <w:rsid w:val="00FF6737"/>
    <w:rsid w:val="00FF69B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274DC"/>
  <w15:docId w15:val="{CF624389-5472-4D70-9224-21B1084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F"/>
    <w:rPr>
      <w:rFonts w:ascii="Arial" w:hAnsi="Arial"/>
      <w:sz w:val="22"/>
      <w:szCs w:val="22"/>
    </w:rPr>
  </w:style>
  <w:style w:type="paragraph" w:styleId="Heading1">
    <w:name w:val="heading 1"/>
    <w:basedOn w:val="Normal"/>
    <w:next w:val="Normal"/>
    <w:qFormat/>
    <w:rsid w:val="00350678"/>
    <w:pPr>
      <w:keepNext/>
      <w:outlineLvl w:val="0"/>
    </w:pPr>
    <w:rPr>
      <w:b/>
      <w:sz w:val="20"/>
      <w:szCs w:val="20"/>
    </w:rPr>
  </w:style>
  <w:style w:type="paragraph" w:styleId="Heading2">
    <w:name w:val="heading 2"/>
    <w:basedOn w:val="Normal"/>
    <w:next w:val="Normal"/>
    <w:qFormat/>
    <w:rsid w:val="00B57ABD"/>
    <w:pPr>
      <w:keepNext/>
      <w:spacing w:before="240" w:after="60"/>
      <w:outlineLvl w:val="1"/>
    </w:pPr>
    <w:rPr>
      <w:rFonts w:cs="Arial"/>
      <w:b/>
      <w:bCs/>
      <w:i/>
      <w:iCs/>
      <w:sz w:val="28"/>
      <w:szCs w:val="28"/>
      <w:lang w:val="en-US"/>
    </w:rPr>
  </w:style>
  <w:style w:type="paragraph" w:styleId="Heading3">
    <w:name w:val="heading 3"/>
    <w:basedOn w:val="Normal"/>
    <w:next w:val="Normal"/>
    <w:qFormat/>
    <w:rsid w:val="00B57ABD"/>
    <w:pPr>
      <w:keepNext/>
      <w:spacing w:before="240" w:after="60"/>
      <w:outlineLvl w:val="2"/>
    </w:pPr>
    <w:rPr>
      <w:rFonts w:cs="Arial"/>
      <w:b/>
      <w:bCs/>
      <w:sz w:val="26"/>
      <w:szCs w:val="26"/>
      <w:lang w:val="en-US"/>
    </w:rPr>
  </w:style>
  <w:style w:type="paragraph" w:styleId="Heading4">
    <w:name w:val="heading 4"/>
    <w:basedOn w:val="Normal"/>
    <w:next w:val="Normal"/>
    <w:qFormat/>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AB42DF"/>
    <w:pPr>
      <w:spacing w:before="240" w:after="60"/>
      <w:outlineLvl w:val="4"/>
    </w:pPr>
    <w:rPr>
      <w:b/>
      <w:bCs/>
      <w:i/>
      <w:iCs/>
      <w:sz w:val="26"/>
      <w:szCs w:val="26"/>
    </w:rPr>
  </w:style>
  <w:style w:type="paragraph" w:styleId="Heading6">
    <w:name w:val="heading 6"/>
    <w:basedOn w:val="Normal"/>
    <w:next w:val="Normal"/>
    <w:qFormat/>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link w:val="FooterChar"/>
    <w:uiPriority w:val="99"/>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rFonts w:ascii="Times New Roman" w:hAnsi="Times New Roman"/>
      <w:sz w:val="24"/>
      <w:szCs w:val="20"/>
      <w:lang w:eastAsia="en-US"/>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qFormat/>
    <w:rsid w:val="002A346F"/>
    <w:pPr>
      <w:spacing w:before="20" w:after="20"/>
      <w:ind w:left="720"/>
    </w:pPr>
    <w:rPr>
      <w:szCs w:val="20"/>
      <w:lang w:eastAsia="en-US"/>
    </w:r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qFormat/>
    <w:rsid w:val="00037067"/>
    <w:rPr>
      <w:b/>
      <w:bCs/>
    </w:rPr>
  </w:style>
  <w:style w:type="paragraph" w:styleId="Title">
    <w:name w:val="Title"/>
    <w:basedOn w:val="Normal"/>
    <w:qFormat/>
    <w:rsid w:val="0057042F"/>
    <w:pPr>
      <w:jc w:val="center"/>
    </w:pPr>
    <w:rPr>
      <w:rFonts w:ascii="Times New Roman" w:hAnsi="Times New Roman"/>
      <w:b/>
      <w:i/>
      <w:sz w:val="32"/>
      <w:szCs w:val="20"/>
      <w:u w:val="single"/>
      <w:lang w:val="en-US"/>
    </w:rPr>
  </w:style>
  <w:style w:type="paragraph" w:styleId="NoSpacing">
    <w:name w:val="No Spacing"/>
    <w:uiPriority w:val="1"/>
    <w:qFormat/>
    <w:rsid w:val="006F65C6"/>
    <w:rPr>
      <w:rFonts w:ascii="Arial" w:hAnsi="Arial"/>
      <w:sz w:val="22"/>
      <w:szCs w:val="22"/>
    </w:rPr>
  </w:style>
  <w:style w:type="character" w:customStyle="1" w:styleId="UnresolvedMention1">
    <w:name w:val="Unresolved Mention1"/>
    <w:basedOn w:val="DefaultParagraphFont"/>
    <w:uiPriority w:val="99"/>
    <w:semiHidden/>
    <w:unhideWhenUsed/>
    <w:rsid w:val="00FC564C"/>
    <w:rPr>
      <w:color w:val="605E5C"/>
      <w:shd w:val="clear" w:color="auto" w:fill="E1DFDD"/>
    </w:rPr>
  </w:style>
  <w:style w:type="character" w:customStyle="1" w:styleId="FooterChar">
    <w:name w:val="Footer Char"/>
    <w:basedOn w:val="DefaultParagraphFont"/>
    <w:link w:val="Footer"/>
    <w:uiPriority w:val="99"/>
    <w:rsid w:val="00B062BB"/>
    <w:rPr>
      <w:rFonts w:ascii="Arial" w:hAnsi="Arial"/>
      <w:sz w:val="22"/>
      <w:szCs w:val="22"/>
    </w:rPr>
  </w:style>
  <w:style w:type="character" w:styleId="UnresolvedMention">
    <w:name w:val="Unresolved Mention"/>
    <w:basedOn w:val="DefaultParagraphFont"/>
    <w:uiPriority w:val="99"/>
    <w:semiHidden/>
    <w:unhideWhenUsed/>
    <w:rsid w:val="005E4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62863">
      <w:bodyDiv w:val="1"/>
      <w:marLeft w:val="0"/>
      <w:marRight w:val="0"/>
      <w:marTop w:val="0"/>
      <w:marBottom w:val="0"/>
      <w:divBdr>
        <w:top w:val="none" w:sz="0" w:space="0" w:color="auto"/>
        <w:left w:val="none" w:sz="0" w:space="0" w:color="auto"/>
        <w:bottom w:val="none" w:sz="0" w:space="0" w:color="auto"/>
        <w:right w:val="none" w:sz="0" w:space="0" w:color="auto"/>
      </w:divBdr>
    </w:div>
    <w:div w:id="251937648">
      <w:bodyDiv w:val="1"/>
      <w:marLeft w:val="0"/>
      <w:marRight w:val="0"/>
      <w:marTop w:val="0"/>
      <w:marBottom w:val="0"/>
      <w:divBdr>
        <w:top w:val="none" w:sz="0" w:space="0" w:color="auto"/>
        <w:left w:val="none" w:sz="0" w:space="0" w:color="auto"/>
        <w:bottom w:val="none" w:sz="0" w:space="0" w:color="auto"/>
        <w:right w:val="none" w:sz="0" w:space="0" w:color="auto"/>
      </w:divBdr>
    </w:div>
    <w:div w:id="262299406">
      <w:bodyDiv w:val="1"/>
      <w:marLeft w:val="0"/>
      <w:marRight w:val="0"/>
      <w:marTop w:val="0"/>
      <w:marBottom w:val="0"/>
      <w:divBdr>
        <w:top w:val="none" w:sz="0" w:space="0" w:color="auto"/>
        <w:left w:val="none" w:sz="0" w:space="0" w:color="auto"/>
        <w:bottom w:val="none" w:sz="0" w:space="0" w:color="auto"/>
        <w:right w:val="none" w:sz="0" w:space="0" w:color="auto"/>
      </w:divBdr>
      <w:divsChild>
        <w:div w:id="636759541">
          <w:marLeft w:val="720"/>
          <w:marRight w:val="0"/>
          <w:marTop w:val="0"/>
          <w:marBottom w:val="0"/>
          <w:divBdr>
            <w:top w:val="none" w:sz="0" w:space="0" w:color="auto"/>
            <w:left w:val="none" w:sz="0" w:space="0" w:color="auto"/>
            <w:bottom w:val="none" w:sz="0" w:space="0" w:color="auto"/>
            <w:right w:val="none" w:sz="0" w:space="0" w:color="auto"/>
          </w:divBdr>
        </w:div>
        <w:div w:id="426771089">
          <w:marLeft w:val="720"/>
          <w:marRight w:val="0"/>
          <w:marTop w:val="0"/>
          <w:marBottom w:val="0"/>
          <w:divBdr>
            <w:top w:val="none" w:sz="0" w:space="0" w:color="auto"/>
            <w:left w:val="none" w:sz="0" w:space="0" w:color="auto"/>
            <w:bottom w:val="none" w:sz="0" w:space="0" w:color="auto"/>
            <w:right w:val="none" w:sz="0" w:space="0" w:color="auto"/>
          </w:divBdr>
        </w:div>
        <w:div w:id="125204145">
          <w:marLeft w:val="720"/>
          <w:marRight w:val="0"/>
          <w:marTop w:val="0"/>
          <w:marBottom w:val="0"/>
          <w:divBdr>
            <w:top w:val="none" w:sz="0" w:space="0" w:color="auto"/>
            <w:left w:val="none" w:sz="0" w:space="0" w:color="auto"/>
            <w:bottom w:val="none" w:sz="0" w:space="0" w:color="auto"/>
            <w:right w:val="none" w:sz="0" w:space="0" w:color="auto"/>
          </w:divBdr>
        </w:div>
      </w:divsChild>
    </w:div>
    <w:div w:id="364141542">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799345848">
      <w:bodyDiv w:val="1"/>
      <w:marLeft w:val="0"/>
      <w:marRight w:val="0"/>
      <w:marTop w:val="0"/>
      <w:marBottom w:val="0"/>
      <w:divBdr>
        <w:top w:val="none" w:sz="0" w:space="0" w:color="auto"/>
        <w:left w:val="none" w:sz="0" w:space="0" w:color="auto"/>
        <w:bottom w:val="none" w:sz="0" w:space="0" w:color="auto"/>
        <w:right w:val="none" w:sz="0" w:space="0" w:color="auto"/>
      </w:divBdr>
      <w:divsChild>
        <w:div w:id="1873230790">
          <w:marLeft w:val="0"/>
          <w:marRight w:val="0"/>
          <w:marTop w:val="0"/>
          <w:marBottom w:val="0"/>
          <w:divBdr>
            <w:top w:val="none" w:sz="0" w:space="0" w:color="auto"/>
            <w:left w:val="none" w:sz="0" w:space="0" w:color="auto"/>
            <w:bottom w:val="none" w:sz="0" w:space="0" w:color="auto"/>
            <w:right w:val="none" w:sz="0" w:space="0" w:color="auto"/>
          </w:divBdr>
        </w:div>
        <w:div w:id="1132863393">
          <w:marLeft w:val="0"/>
          <w:marRight w:val="0"/>
          <w:marTop w:val="0"/>
          <w:marBottom w:val="0"/>
          <w:divBdr>
            <w:top w:val="none" w:sz="0" w:space="0" w:color="auto"/>
            <w:left w:val="none" w:sz="0" w:space="0" w:color="auto"/>
            <w:bottom w:val="none" w:sz="0" w:space="0" w:color="auto"/>
            <w:right w:val="none" w:sz="0" w:space="0" w:color="auto"/>
          </w:divBdr>
        </w:div>
        <w:div w:id="1779837150">
          <w:marLeft w:val="0"/>
          <w:marRight w:val="0"/>
          <w:marTop w:val="0"/>
          <w:marBottom w:val="0"/>
          <w:divBdr>
            <w:top w:val="none" w:sz="0" w:space="0" w:color="auto"/>
            <w:left w:val="none" w:sz="0" w:space="0" w:color="auto"/>
            <w:bottom w:val="none" w:sz="0" w:space="0" w:color="auto"/>
            <w:right w:val="none" w:sz="0" w:space="0" w:color="auto"/>
          </w:divBdr>
        </w:div>
        <w:div w:id="1612858602">
          <w:marLeft w:val="0"/>
          <w:marRight w:val="0"/>
          <w:marTop w:val="0"/>
          <w:marBottom w:val="0"/>
          <w:divBdr>
            <w:top w:val="none" w:sz="0" w:space="0" w:color="auto"/>
            <w:left w:val="none" w:sz="0" w:space="0" w:color="auto"/>
            <w:bottom w:val="none" w:sz="0" w:space="0" w:color="auto"/>
            <w:right w:val="none" w:sz="0" w:space="0" w:color="auto"/>
          </w:divBdr>
        </w:div>
        <w:div w:id="1700473085">
          <w:marLeft w:val="0"/>
          <w:marRight w:val="0"/>
          <w:marTop w:val="0"/>
          <w:marBottom w:val="0"/>
          <w:divBdr>
            <w:top w:val="none" w:sz="0" w:space="0" w:color="auto"/>
            <w:left w:val="none" w:sz="0" w:space="0" w:color="auto"/>
            <w:bottom w:val="none" w:sz="0" w:space="0" w:color="auto"/>
            <w:right w:val="none" w:sz="0" w:space="0" w:color="auto"/>
          </w:divBdr>
        </w:div>
        <w:div w:id="94641201">
          <w:marLeft w:val="0"/>
          <w:marRight w:val="0"/>
          <w:marTop w:val="0"/>
          <w:marBottom w:val="0"/>
          <w:divBdr>
            <w:top w:val="none" w:sz="0" w:space="0" w:color="auto"/>
            <w:left w:val="none" w:sz="0" w:space="0" w:color="auto"/>
            <w:bottom w:val="none" w:sz="0" w:space="0" w:color="auto"/>
            <w:right w:val="none" w:sz="0" w:space="0" w:color="auto"/>
          </w:divBdr>
        </w:div>
        <w:div w:id="416563102">
          <w:marLeft w:val="0"/>
          <w:marRight w:val="0"/>
          <w:marTop w:val="0"/>
          <w:marBottom w:val="0"/>
          <w:divBdr>
            <w:top w:val="none" w:sz="0" w:space="0" w:color="auto"/>
            <w:left w:val="none" w:sz="0" w:space="0" w:color="auto"/>
            <w:bottom w:val="none" w:sz="0" w:space="0" w:color="auto"/>
            <w:right w:val="none" w:sz="0" w:space="0" w:color="auto"/>
          </w:divBdr>
        </w:div>
        <w:div w:id="772826023">
          <w:marLeft w:val="0"/>
          <w:marRight w:val="0"/>
          <w:marTop w:val="0"/>
          <w:marBottom w:val="0"/>
          <w:divBdr>
            <w:top w:val="none" w:sz="0" w:space="0" w:color="auto"/>
            <w:left w:val="none" w:sz="0" w:space="0" w:color="auto"/>
            <w:bottom w:val="none" w:sz="0" w:space="0" w:color="auto"/>
            <w:right w:val="none" w:sz="0" w:space="0" w:color="auto"/>
          </w:divBdr>
        </w:div>
        <w:div w:id="676540639">
          <w:marLeft w:val="0"/>
          <w:marRight w:val="0"/>
          <w:marTop w:val="0"/>
          <w:marBottom w:val="0"/>
          <w:divBdr>
            <w:top w:val="none" w:sz="0" w:space="0" w:color="auto"/>
            <w:left w:val="none" w:sz="0" w:space="0" w:color="auto"/>
            <w:bottom w:val="none" w:sz="0" w:space="0" w:color="auto"/>
            <w:right w:val="none" w:sz="0" w:space="0" w:color="auto"/>
          </w:divBdr>
        </w:div>
        <w:div w:id="2094468876">
          <w:marLeft w:val="0"/>
          <w:marRight w:val="0"/>
          <w:marTop w:val="0"/>
          <w:marBottom w:val="0"/>
          <w:divBdr>
            <w:top w:val="none" w:sz="0" w:space="0" w:color="auto"/>
            <w:left w:val="none" w:sz="0" w:space="0" w:color="auto"/>
            <w:bottom w:val="none" w:sz="0" w:space="0" w:color="auto"/>
            <w:right w:val="none" w:sz="0" w:space="0" w:color="auto"/>
          </w:divBdr>
        </w:div>
        <w:div w:id="1424372908">
          <w:marLeft w:val="0"/>
          <w:marRight w:val="0"/>
          <w:marTop w:val="0"/>
          <w:marBottom w:val="0"/>
          <w:divBdr>
            <w:top w:val="none" w:sz="0" w:space="0" w:color="auto"/>
            <w:left w:val="none" w:sz="0" w:space="0" w:color="auto"/>
            <w:bottom w:val="none" w:sz="0" w:space="0" w:color="auto"/>
            <w:right w:val="none" w:sz="0" w:space="0" w:color="auto"/>
          </w:divBdr>
        </w:div>
        <w:div w:id="1256330528">
          <w:marLeft w:val="0"/>
          <w:marRight w:val="0"/>
          <w:marTop w:val="0"/>
          <w:marBottom w:val="0"/>
          <w:divBdr>
            <w:top w:val="none" w:sz="0" w:space="0" w:color="auto"/>
            <w:left w:val="none" w:sz="0" w:space="0" w:color="auto"/>
            <w:bottom w:val="none" w:sz="0" w:space="0" w:color="auto"/>
            <w:right w:val="none" w:sz="0" w:space="0" w:color="auto"/>
          </w:divBdr>
        </w:div>
        <w:div w:id="1868905041">
          <w:marLeft w:val="0"/>
          <w:marRight w:val="0"/>
          <w:marTop w:val="0"/>
          <w:marBottom w:val="0"/>
          <w:divBdr>
            <w:top w:val="none" w:sz="0" w:space="0" w:color="auto"/>
            <w:left w:val="none" w:sz="0" w:space="0" w:color="auto"/>
            <w:bottom w:val="none" w:sz="0" w:space="0" w:color="auto"/>
            <w:right w:val="none" w:sz="0" w:space="0" w:color="auto"/>
          </w:divBdr>
        </w:div>
        <w:div w:id="1047223072">
          <w:marLeft w:val="0"/>
          <w:marRight w:val="0"/>
          <w:marTop w:val="0"/>
          <w:marBottom w:val="0"/>
          <w:divBdr>
            <w:top w:val="none" w:sz="0" w:space="0" w:color="auto"/>
            <w:left w:val="none" w:sz="0" w:space="0" w:color="auto"/>
            <w:bottom w:val="none" w:sz="0" w:space="0" w:color="auto"/>
            <w:right w:val="none" w:sz="0" w:space="0" w:color="auto"/>
          </w:divBdr>
        </w:div>
        <w:div w:id="2087148401">
          <w:marLeft w:val="0"/>
          <w:marRight w:val="0"/>
          <w:marTop w:val="0"/>
          <w:marBottom w:val="0"/>
          <w:divBdr>
            <w:top w:val="none" w:sz="0" w:space="0" w:color="auto"/>
            <w:left w:val="none" w:sz="0" w:space="0" w:color="auto"/>
            <w:bottom w:val="none" w:sz="0" w:space="0" w:color="auto"/>
            <w:right w:val="none" w:sz="0" w:space="0" w:color="auto"/>
          </w:divBdr>
        </w:div>
        <w:div w:id="804541488">
          <w:marLeft w:val="0"/>
          <w:marRight w:val="0"/>
          <w:marTop w:val="0"/>
          <w:marBottom w:val="0"/>
          <w:divBdr>
            <w:top w:val="none" w:sz="0" w:space="0" w:color="auto"/>
            <w:left w:val="none" w:sz="0" w:space="0" w:color="auto"/>
            <w:bottom w:val="none" w:sz="0" w:space="0" w:color="auto"/>
            <w:right w:val="none" w:sz="0" w:space="0" w:color="auto"/>
          </w:divBdr>
        </w:div>
        <w:div w:id="1719160502">
          <w:marLeft w:val="0"/>
          <w:marRight w:val="0"/>
          <w:marTop w:val="0"/>
          <w:marBottom w:val="0"/>
          <w:divBdr>
            <w:top w:val="none" w:sz="0" w:space="0" w:color="auto"/>
            <w:left w:val="none" w:sz="0" w:space="0" w:color="auto"/>
            <w:bottom w:val="none" w:sz="0" w:space="0" w:color="auto"/>
            <w:right w:val="none" w:sz="0" w:space="0" w:color="auto"/>
          </w:divBdr>
        </w:div>
        <w:div w:id="1115101618">
          <w:marLeft w:val="0"/>
          <w:marRight w:val="0"/>
          <w:marTop w:val="0"/>
          <w:marBottom w:val="0"/>
          <w:divBdr>
            <w:top w:val="none" w:sz="0" w:space="0" w:color="auto"/>
            <w:left w:val="none" w:sz="0" w:space="0" w:color="auto"/>
            <w:bottom w:val="none" w:sz="0" w:space="0" w:color="auto"/>
            <w:right w:val="none" w:sz="0" w:space="0" w:color="auto"/>
          </w:divBdr>
        </w:div>
        <w:div w:id="1170170877">
          <w:marLeft w:val="0"/>
          <w:marRight w:val="0"/>
          <w:marTop w:val="0"/>
          <w:marBottom w:val="0"/>
          <w:divBdr>
            <w:top w:val="none" w:sz="0" w:space="0" w:color="auto"/>
            <w:left w:val="none" w:sz="0" w:space="0" w:color="auto"/>
            <w:bottom w:val="none" w:sz="0" w:space="0" w:color="auto"/>
            <w:right w:val="none" w:sz="0" w:space="0" w:color="auto"/>
          </w:divBdr>
        </w:div>
        <w:div w:id="325283134">
          <w:marLeft w:val="0"/>
          <w:marRight w:val="0"/>
          <w:marTop w:val="0"/>
          <w:marBottom w:val="0"/>
          <w:divBdr>
            <w:top w:val="none" w:sz="0" w:space="0" w:color="auto"/>
            <w:left w:val="none" w:sz="0" w:space="0" w:color="auto"/>
            <w:bottom w:val="none" w:sz="0" w:space="0" w:color="auto"/>
            <w:right w:val="none" w:sz="0" w:space="0" w:color="auto"/>
          </w:divBdr>
        </w:div>
        <w:div w:id="2035958527">
          <w:marLeft w:val="0"/>
          <w:marRight w:val="0"/>
          <w:marTop w:val="0"/>
          <w:marBottom w:val="0"/>
          <w:divBdr>
            <w:top w:val="none" w:sz="0" w:space="0" w:color="auto"/>
            <w:left w:val="none" w:sz="0" w:space="0" w:color="auto"/>
            <w:bottom w:val="none" w:sz="0" w:space="0" w:color="auto"/>
            <w:right w:val="none" w:sz="0" w:space="0" w:color="auto"/>
          </w:divBdr>
        </w:div>
        <w:div w:id="998310927">
          <w:marLeft w:val="0"/>
          <w:marRight w:val="0"/>
          <w:marTop w:val="0"/>
          <w:marBottom w:val="0"/>
          <w:divBdr>
            <w:top w:val="none" w:sz="0" w:space="0" w:color="auto"/>
            <w:left w:val="none" w:sz="0" w:space="0" w:color="auto"/>
            <w:bottom w:val="none" w:sz="0" w:space="0" w:color="auto"/>
            <w:right w:val="none" w:sz="0" w:space="0" w:color="auto"/>
          </w:divBdr>
        </w:div>
        <w:div w:id="988947924">
          <w:marLeft w:val="0"/>
          <w:marRight w:val="0"/>
          <w:marTop w:val="0"/>
          <w:marBottom w:val="0"/>
          <w:divBdr>
            <w:top w:val="none" w:sz="0" w:space="0" w:color="auto"/>
            <w:left w:val="none" w:sz="0" w:space="0" w:color="auto"/>
            <w:bottom w:val="none" w:sz="0" w:space="0" w:color="auto"/>
            <w:right w:val="none" w:sz="0" w:space="0" w:color="auto"/>
          </w:divBdr>
        </w:div>
        <w:div w:id="1403210541">
          <w:marLeft w:val="0"/>
          <w:marRight w:val="0"/>
          <w:marTop w:val="0"/>
          <w:marBottom w:val="0"/>
          <w:divBdr>
            <w:top w:val="none" w:sz="0" w:space="0" w:color="auto"/>
            <w:left w:val="none" w:sz="0" w:space="0" w:color="auto"/>
            <w:bottom w:val="none" w:sz="0" w:space="0" w:color="auto"/>
            <w:right w:val="none" w:sz="0" w:space="0" w:color="auto"/>
          </w:divBdr>
        </w:div>
        <w:div w:id="346443640">
          <w:marLeft w:val="0"/>
          <w:marRight w:val="0"/>
          <w:marTop w:val="0"/>
          <w:marBottom w:val="0"/>
          <w:divBdr>
            <w:top w:val="none" w:sz="0" w:space="0" w:color="auto"/>
            <w:left w:val="none" w:sz="0" w:space="0" w:color="auto"/>
            <w:bottom w:val="none" w:sz="0" w:space="0" w:color="auto"/>
            <w:right w:val="none" w:sz="0" w:space="0" w:color="auto"/>
          </w:divBdr>
        </w:div>
        <w:div w:id="1134787862">
          <w:marLeft w:val="0"/>
          <w:marRight w:val="0"/>
          <w:marTop w:val="0"/>
          <w:marBottom w:val="0"/>
          <w:divBdr>
            <w:top w:val="none" w:sz="0" w:space="0" w:color="auto"/>
            <w:left w:val="none" w:sz="0" w:space="0" w:color="auto"/>
            <w:bottom w:val="none" w:sz="0" w:space="0" w:color="auto"/>
            <w:right w:val="none" w:sz="0" w:space="0" w:color="auto"/>
          </w:divBdr>
        </w:div>
        <w:div w:id="1730230601">
          <w:marLeft w:val="0"/>
          <w:marRight w:val="0"/>
          <w:marTop w:val="0"/>
          <w:marBottom w:val="0"/>
          <w:divBdr>
            <w:top w:val="none" w:sz="0" w:space="0" w:color="auto"/>
            <w:left w:val="none" w:sz="0" w:space="0" w:color="auto"/>
            <w:bottom w:val="none" w:sz="0" w:space="0" w:color="auto"/>
            <w:right w:val="none" w:sz="0" w:space="0" w:color="auto"/>
          </w:divBdr>
        </w:div>
        <w:div w:id="790710822">
          <w:marLeft w:val="0"/>
          <w:marRight w:val="0"/>
          <w:marTop w:val="0"/>
          <w:marBottom w:val="0"/>
          <w:divBdr>
            <w:top w:val="none" w:sz="0" w:space="0" w:color="auto"/>
            <w:left w:val="none" w:sz="0" w:space="0" w:color="auto"/>
            <w:bottom w:val="none" w:sz="0" w:space="0" w:color="auto"/>
            <w:right w:val="none" w:sz="0" w:space="0" w:color="auto"/>
          </w:divBdr>
        </w:div>
        <w:div w:id="729697562">
          <w:marLeft w:val="0"/>
          <w:marRight w:val="0"/>
          <w:marTop w:val="0"/>
          <w:marBottom w:val="0"/>
          <w:divBdr>
            <w:top w:val="none" w:sz="0" w:space="0" w:color="auto"/>
            <w:left w:val="none" w:sz="0" w:space="0" w:color="auto"/>
            <w:bottom w:val="none" w:sz="0" w:space="0" w:color="auto"/>
            <w:right w:val="none" w:sz="0" w:space="0" w:color="auto"/>
          </w:divBdr>
        </w:div>
        <w:div w:id="1943603914">
          <w:marLeft w:val="0"/>
          <w:marRight w:val="0"/>
          <w:marTop w:val="0"/>
          <w:marBottom w:val="0"/>
          <w:divBdr>
            <w:top w:val="none" w:sz="0" w:space="0" w:color="auto"/>
            <w:left w:val="none" w:sz="0" w:space="0" w:color="auto"/>
            <w:bottom w:val="none" w:sz="0" w:space="0" w:color="auto"/>
            <w:right w:val="none" w:sz="0" w:space="0" w:color="auto"/>
          </w:divBdr>
        </w:div>
        <w:div w:id="2131393951">
          <w:marLeft w:val="0"/>
          <w:marRight w:val="0"/>
          <w:marTop w:val="0"/>
          <w:marBottom w:val="0"/>
          <w:divBdr>
            <w:top w:val="none" w:sz="0" w:space="0" w:color="auto"/>
            <w:left w:val="none" w:sz="0" w:space="0" w:color="auto"/>
            <w:bottom w:val="none" w:sz="0" w:space="0" w:color="auto"/>
            <w:right w:val="none" w:sz="0" w:space="0" w:color="auto"/>
          </w:divBdr>
        </w:div>
        <w:div w:id="1715305743">
          <w:marLeft w:val="0"/>
          <w:marRight w:val="0"/>
          <w:marTop w:val="0"/>
          <w:marBottom w:val="0"/>
          <w:divBdr>
            <w:top w:val="none" w:sz="0" w:space="0" w:color="auto"/>
            <w:left w:val="none" w:sz="0" w:space="0" w:color="auto"/>
            <w:bottom w:val="none" w:sz="0" w:space="0" w:color="auto"/>
            <w:right w:val="none" w:sz="0" w:space="0" w:color="auto"/>
          </w:divBdr>
        </w:div>
        <w:div w:id="1685669683">
          <w:marLeft w:val="0"/>
          <w:marRight w:val="0"/>
          <w:marTop w:val="0"/>
          <w:marBottom w:val="0"/>
          <w:divBdr>
            <w:top w:val="none" w:sz="0" w:space="0" w:color="auto"/>
            <w:left w:val="none" w:sz="0" w:space="0" w:color="auto"/>
            <w:bottom w:val="none" w:sz="0" w:space="0" w:color="auto"/>
            <w:right w:val="none" w:sz="0" w:space="0" w:color="auto"/>
          </w:divBdr>
        </w:div>
        <w:div w:id="2114982244">
          <w:marLeft w:val="0"/>
          <w:marRight w:val="0"/>
          <w:marTop w:val="0"/>
          <w:marBottom w:val="0"/>
          <w:divBdr>
            <w:top w:val="none" w:sz="0" w:space="0" w:color="auto"/>
            <w:left w:val="none" w:sz="0" w:space="0" w:color="auto"/>
            <w:bottom w:val="none" w:sz="0" w:space="0" w:color="auto"/>
            <w:right w:val="none" w:sz="0" w:space="0" w:color="auto"/>
          </w:divBdr>
        </w:div>
        <w:div w:id="808590502">
          <w:marLeft w:val="0"/>
          <w:marRight w:val="0"/>
          <w:marTop w:val="0"/>
          <w:marBottom w:val="0"/>
          <w:divBdr>
            <w:top w:val="none" w:sz="0" w:space="0" w:color="auto"/>
            <w:left w:val="none" w:sz="0" w:space="0" w:color="auto"/>
            <w:bottom w:val="none" w:sz="0" w:space="0" w:color="auto"/>
            <w:right w:val="none" w:sz="0" w:space="0" w:color="auto"/>
          </w:divBdr>
        </w:div>
        <w:div w:id="471290632">
          <w:marLeft w:val="0"/>
          <w:marRight w:val="0"/>
          <w:marTop w:val="0"/>
          <w:marBottom w:val="0"/>
          <w:divBdr>
            <w:top w:val="none" w:sz="0" w:space="0" w:color="auto"/>
            <w:left w:val="none" w:sz="0" w:space="0" w:color="auto"/>
            <w:bottom w:val="none" w:sz="0" w:space="0" w:color="auto"/>
            <w:right w:val="none" w:sz="0" w:space="0" w:color="auto"/>
          </w:divBdr>
        </w:div>
        <w:div w:id="1788699723">
          <w:marLeft w:val="0"/>
          <w:marRight w:val="0"/>
          <w:marTop w:val="0"/>
          <w:marBottom w:val="0"/>
          <w:divBdr>
            <w:top w:val="none" w:sz="0" w:space="0" w:color="auto"/>
            <w:left w:val="none" w:sz="0" w:space="0" w:color="auto"/>
            <w:bottom w:val="none" w:sz="0" w:space="0" w:color="auto"/>
            <w:right w:val="none" w:sz="0" w:space="0" w:color="auto"/>
          </w:divBdr>
        </w:div>
        <w:div w:id="1006858495">
          <w:marLeft w:val="0"/>
          <w:marRight w:val="0"/>
          <w:marTop w:val="0"/>
          <w:marBottom w:val="0"/>
          <w:divBdr>
            <w:top w:val="none" w:sz="0" w:space="0" w:color="auto"/>
            <w:left w:val="none" w:sz="0" w:space="0" w:color="auto"/>
            <w:bottom w:val="none" w:sz="0" w:space="0" w:color="auto"/>
            <w:right w:val="none" w:sz="0" w:space="0" w:color="auto"/>
          </w:divBdr>
        </w:div>
        <w:div w:id="2114860957">
          <w:marLeft w:val="0"/>
          <w:marRight w:val="0"/>
          <w:marTop w:val="0"/>
          <w:marBottom w:val="0"/>
          <w:divBdr>
            <w:top w:val="none" w:sz="0" w:space="0" w:color="auto"/>
            <w:left w:val="none" w:sz="0" w:space="0" w:color="auto"/>
            <w:bottom w:val="none" w:sz="0" w:space="0" w:color="auto"/>
            <w:right w:val="none" w:sz="0" w:space="0" w:color="auto"/>
          </w:divBdr>
        </w:div>
        <w:div w:id="341857963">
          <w:marLeft w:val="0"/>
          <w:marRight w:val="0"/>
          <w:marTop w:val="0"/>
          <w:marBottom w:val="0"/>
          <w:divBdr>
            <w:top w:val="none" w:sz="0" w:space="0" w:color="auto"/>
            <w:left w:val="none" w:sz="0" w:space="0" w:color="auto"/>
            <w:bottom w:val="none" w:sz="0" w:space="0" w:color="auto"/>
            <w:right w:val="none" w:sz="0" w:space="0" w:color="auto"/>
          </w:divBdr>
        </w:div>
        <w:div w:id="142352952">
          <w:marLeft w:val="0"/>
          <w:marRight w:val="0"/>
          <w:marTop w:val="0"/>
          <w:marBottom w:val="0"/>
          <w:divBdr>
            <w:top w:val="none" w:sz="0" w:space="0" w:color="auto"/>
            <w:left w:val="none" w:sz="0" w:space="0" w:color="auto"/>
            <w:bottom w:val="none" w:sz="0" w:space="0" w:color="auto"/>
            <w:right w:val="none" w:sz="0" w:space="0" w:color="auto"/>
          </w:divBdr>
        </w:div>
        <w:div w:id="1342661119">
          <w:marLeft w:val="0"/>
          <w:marRight w:val="0"/>
          <w:marTop w:val="0"/>
          <w:marBottom w:val="0"/>
          <w:divBdr>
            <w:top w:val="none" w:sz="0" w:space="0" w:color="auto"/>
            <w:left w:val="none" w:sz="0" w:space="0" w:color="auto"/>
            <w:bottom w:val="none" w:sz="0" w:space="0" w:color="auto"/>
            <w:right w:val="none" w:sz="0" w:space="0" w:color="auto"/>
          </w:divBdr>
        </w:div>
        <w:div w:id="176820573">
          <w:marLeft w:val="0"/>
          <w:marRight w:val="0"/>
          <w:marTop w:val="0"/>
          <w:marBottom w:val="0"/>
          <w:divBdr>
            <w:top w:val="none" w:sz="0" w:space="0" w:color="auto"/>
            <w:left w:val="none" w:sz="0" w:space="0" w:color="auto"/>
            <w:bottom w:val="none" w:sz="0" w:space="0" w:color="auto"/>
            <w:right w:val="none" w:sz="0" w:space="0" w:color="auto"/>
          </w:divBdr>
        </w:div>
        <w:div w:id="873806068">
          <w:marLeft w:val="0"/>
          <w:marRight w:val="0"/>
          <w:marTop w:val="0"/>
          <w:marBottom w:val="0"/>
          <w:divBdr>
            <w:top w:val="none" w:sz="0" w:space="0" w:color="auto"/>
            <w:left w:val="none" w:sz="0" w:space="0" w:color="auto"/>
            <w:bottom w:val="none" w:sz="0" w:space="0" w:color="auto"/>
            <w:right w:val="none" w:sz="0" w:space="0" w:color="auto"/>
          </w:divBdr>
        </w:div>
        <w:div w:id="147020868">
          <w:marLeft w:val="0"/>
          <w:marRight w:val="0"/>
          <w:marTop w:val="0"/>
          <w:marBottom w:val="0"/>
          <w:divBdr>
            <w:top w:val="none" w:sz="0" w:space="0" w:color="auto"/>
            <w:left w:val="none" w:sz="0" w:space="0" w:color="auto"/>
            <w:bottom w:val="none" w:sz="0" w:space="0" w:color="auto"/>
            <w:right w:val="none" w:sz="0" w:space="0" w:color="auto"/>
          </w:divBdr>
        </w:div>
        <w:div w:id="1137648441">
          <w:marLeft w:val="0"/>
          <w:marRight w:val="0"/>
          <w:marTop w:val="0"/>
          <w:marBottom w:val="0"/>
          <w:divBdr>
            <w:top w:val="none" w:sz="0" w:space="0" w:color="auto"/>
            <w:left w:val="none" w:sz="0" w:space="0" w:color="auto"/>
            <w:bottom w:val="none" w:sz="0" w:space="0" w:color="auto"/>
            <w:right w:val="none" w:sz="0" w:space="0" w:color="auto"/>
          </w:divBdr>
        </w:div>
        <w:div w:id="1210606476">
          <w:marLeft w:val="0"/>
          <w:marRight w:val="0"/>
          <w:marTop w:val="0"/>
          <w:marBottom w:val="0"/>
          <w:divBdr>
            <w:top w:val="none" w:sz="0" w:space="0" w:color="auto"/>
            <w:left w:val="none" w:sz="0" w:space="0" w:color="auto"/>
            <w:bottom w:val="none" w:sz="0" w:space="0" w:color="auto"/>
            <w:right w:val="none" w:sz="0" w:space="0" w:color="auto"/>
          </w:divBdr>
        </w:div>
        <w:div w:id="206337766">
          <w:marLeft w:val="0"/>
          <w:marRight w:val="0"/>
          <w:marTop w:val="0"/>
          <w:marBottom w:val="0"/>
          <w:divBdr>
            <w:top w:val="none" w:sz="0" w:space="0" w:color="auto"/>
            <w:left w:val="none" w:sz="0" w:space="0" w:color="auto"/>
            <w:bottom w:val="none" w:sz="0" w:space="0" w:color="auto"/>
            <w:right w:val="none" w:sz="0" w:space="0" w:color="auto"/>
          </w:divBdr>
        </w:div>
        <w:div w:id="1936553622">
          <w:marLeft w:val="0"/>
          <w:marRight w:val="0"/>
          <w:marTop w:val="0"/>
          <w:marBottom w:val="0"/>
          <w:divBdr>
            <w:top w:val="none" w:sz="0" w:space="0" w:color="auto"/>
            <w:left w:val="none" w:sz="0" w:space="0" w:color="auto"/>
            <w:bottom w:val="none" w:sz="0" w:space="0" w:color="auto"/>
            <w:right w:val="none" w:sz="0" w:space="0" w:color="auto"/>
          </w:divBdr>
        </w:div>
        <w:div w:id="2011131493">
          <w:marLeft w:val="0"/>
          <w:marRight w:val="0"/>
          <w:marTop w:val="0"/>
          <w:marBottom w:val="0"/>
          <w:divBdr>
            <w:top w:val="none" w:sz="0" w:space="0" w:color="auto"/>
            <w:left w:val="none" w:sz="0" w:space="0" w:color="auto"/>
            <w:bottom w:val="none" w:sz="0" w:space="0" w:color="auto"/>
            <w:right w:val="none" w:sz="0" w:space="0" w:color="auto"/>
          </w:divBdr>
        </w:div>
        <w:div w:id="1299726526">
          <w:marLeft w:val="0"/>
          <w:marRight w:val="0"/>
          <w:marTop w:val="0"/>
          <w:marBottom w:val="0"/>
          <w:divBdr>
            <w:top w:val="none" w:sz="0" w:space="0" w:color="auto"/>
            <w:left w:val="none" w:sz="0" w:space="0" w:color="auto"/>
            <w:bottom w:val="none" w:sz="0" w:space="0" w:color="auto"/>
            <w:right w:val="none" w:sz="0" w:space="0" w:color="auto"/>
          </w:divBdr>
        </w:div>
        <w:div w:id="1731616644">
          <w:marLeft w:val="0"/>
          <w:marRight w:val="0"/>
          <w:marTop w:val="0"/>
          <w:marBottom w:val="0"/>
          <w:divBdr>
            <w:top w:val="none" w:sz="0" w:space="0" w:color="auto"/>
            <w:left w:val="none" w:sz="0" w:space="0" w:color="auto"/>
            <w:bottom w:val="none" w:sz="0" w:space="0" w:color="auto"/>
            <w:right w:val="none" w:sz="0" w:space="0" w:color="auto"/>
          </w:divBdr>
        </w:div>
        <w:div w:id="2113041748">
          <w:marLeft w:val="0"/>
          <w:marRight w:val="0"/>
          <w:marTop w:val="0"/>
          <w:marBottom w:val="0"/>
          <w:divBdr>
            <w:top w:val="none" w:sz="0" w:space="0" w:color="auto"/>
            <w:left w:val="none" w:sz="0" w:space="0" w:color="auto"/>
            <w:bottom w:val="none" w:sz="0" w:space="0" w:color="auto"/>
            <w:right w:val="none" w:sz="0" w:space="0" w:color="auto"/>
          </w:divBdr>
        </w:div>
        <w:div w:id="1055347970">
          <w:marLeft w:val="0"/>
          <w:marRight w:val="0"/>
          <w:marTop w:val="0"/>
          <w:marBottom w:val="0"/>
          <w:divBdr>
            <w:top w:val="none" w:sz="0" w:space="0" w:color="auto"/>
            <w:left w:val="none" w:sz="0" w:space="0" w:color="auto"/>
            <w:bottom w:val="none" w:sz="0" w:space="0" w:color="auto"/>
            <w:right w:val="none" w:sz="0" w:space="0" w:color="auto"/>
          </w:divBdr>
        </w:div>
        <w:div w:id="1174880899">
          <w:marLeft w:val="0"/>
          <w:marRight w:val="0"/>
          <w:marTop w:val="0"/>
          <w:marBottom w:val="0"/>
          <w:divBdr>
            <w:top w:val="none" w:sz="0" w:space="0" w:color="auto"/>
            <w:left w:val="none" w:sz="0" w:space="0" w:color="auto"/>
            <w:bottom w:val="none" w:sz="0" w:space="0" w:color="auto"/>
            <w:right w:val="none" w:sz="0" w:space="0" w:color="auto"/>
          </w:divBdr>
        </w:div>
      </w:divsChild>
    </w:div>
    <w:div w:id="822432345">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926157643">
      <w:bodyDiv w:val="1"/>
      <w:marLeft w:val="0"/>
      <w:marRight w:val="0"/>
      <w:marTop w:val="0"/>
      <w:marBottom w:val="0"/>
      <w:divBdr>
        <w:top w:val="none" w:sz="0" w:space="0" w:color="auto"/>
        <w:left w:val="none" w:sz="0" w:space="0" w:color="auto"/>
        <w:bottom w:val="none" w:sz="0" w:space="0" w:color="auto"/>
        <w:right w:val="none" w:sz="0" w:space="0" w:color="auto"/>
      </w:divBdr>
      <w:divsChild>
        <w:div w:id="1247156854">
          <w:marLeft w:val="0"/>
          <w:marRight w:val="0"/>
          <w:marTop w:val="0"/>
          <w:marBottom w:val="0"/>
          <w:divBdr>
            <w:top w:val="none" w:sz="0" w:space="0" w:color="auto"/>
            <w:left w:val="none" w:sz="0" w:space="0" w:color="auto"/>
            <w:bottom w:val="none" w:sz="0" w:space="0" w:color="auto"/>
            <w:right w:val="none" w:sz="0" w:space="0" w:color="auto"/>
          </w:divBdr>
          <w:divsChild>
            <w:div w:id="1289243799">
              <w:marLeft w:val="0"/>
              <w:marRight w:val="0"/>
              <w:marTop w:val="0"/>
              <w:marBottom w:val="0"/>
              <w:divBdr>
                <w:top w:val="none" w:sz="0" w:space="0" w:color="auto"/>
                <w:left w:val="none" w:sz="0" w:space="0" w:color="auto"/>
                <w:bottom w:val="none" w:sz="0" w:space="0" w:color="auto"/>
                <w:right w:val="none" w:sz="0" w:space="0" w:color="auto"/>
              </w:divBdr>
              <w:divsChild>
                <w:div w:id="854734020">
                  <w:marLeft w:val="0"/>
                  <w:marRight w:val="0"/>
                  <w:marTop w:val="0"/>
                  <w:marBottom w:val="0"/>
                  <w:divBdr>
                    <w:top w:val="none" w:sz="0" w:space="0" w:color="auto"/>
                    <w:left w:val="none" w:sz="0" w:space="0" w:color="auto"/>
                    <w:bottom w:val="none" w:sz="0" w:space="0" w:color="auto"/>
                    <w:right w:val="none" w:sz="0" w:space="0" w:color="auto"/>
                  </w:divBdr>
                  <w:divsChild>
                    <w:div w:id="432552320">
                      <w:marLeft w:val="0"/>
                      <w:marRight w:val="0"/>
                      <w:marTop w:val="0"/>
                      <w:marBottom w:val="0"/>
                      <w:divBdr>
                        <w:top w:val="none" w:sz="0" w:space="0" w:color="auto"/>
                        <w:left w:val="none" w:sz="0" w:space="0" w:color="auto"/>
                        <w:bottom w:val="none" w:sz="0" w:space="0" w:color="auto"/>
                        <w:right w:val="none" w:sz="0" w:space="0" w:color="auto"/>
                      </w:divBdr>
                    </w:div>
                    <w:div w:id="174733440">
                      <w:marLeft w:val="0"/>
                      <w:marRight w:val="0"/>
                      <w:marTop w:val="0"/>
                      <w:marBottom w:val="0"/>
                      <w:divBdr>
                        <w:top w:val="none" w:sz="0" w:space="0" w:color="auto"/>
                        <w:left w:val="none" w:sz="0" w:space="0" w:color="auto"/>
                        <w:bottom w:val="none" w:sz="0" w:space="0" w:color="auto"/>
                        <w:right w:val="none" w:sz="0" w:space="0" w:color="auto"/>
                      </w:divBdr>
                    </w:div>
                    <w:div w:id="815759011">
                      <w:marLeft w:val="0"/>
                      <w:marRight w:val="0"/>
                      <w:marTop w:val="0"/>
                      <w:marBottom w:val="0"/>
                      <w:divBdr>
                        <w:top w:val="none" w:sz="0" w:space="0" w:color="auto"/>
                        <w:left w:val="none" w:sz="0" w:space="0" w:color="auto"/>
                        <w:bottom w:val="none" w:sz="0" w:space="0" w:color="auto"/>
                        <w:right w:val="none" w:sz="0" w:space="0" w:color="auto"/>
                      </w:divBdr>
                    </w:div>
                    <w:div w:id="1822118437">
                      <w:marLeft w:val="0"/>
                      <w:marRight w:val="0"/>
                      <w:marTop w:val="0"/>
                      <w:marBottom w:val="0"/>
                      <w:divBdr>
                        <w:top w:val="none" w:sz="0" w:space="0" w:color="auto"/>
                        <w:left w:val="none" w:sz="0" w:space="0" w:color="auto"/>
                        <w:bottom w:val="none" w:sz="0" w:space="0" w:color="auto"/>
                        <w:right w:val="none" w:sz="0" w:space="0" w:color="auto"/>
                      </w:divBdr>
                    </w:div>
                    <w:div w:id="1979144378">
                      <w:marLeft w:val="0"/>
                      <w:marRight w:val="0"/>
                      <w:marTop w:val="0"/>
                      <w:marBottom w:val="0"/>
                      <w:divBdr>
                        <w:top w:val="none" w:sz="0" w:space="0" w:color="auto"/>
                        <w:left w:val="none" w:sz="0" w:space="0" w:color="auto"/>
                        <w:bottom w:val="none" w:sz="0" w:space="0" w:color="auto"/>
                        <w:right w:val="none" w:sz="0" w:space="0" w:color="auto"/>
                      </w:divBdr>
                    </w:div>
                    <w:div w:id="2039698793">
                      <w:marLeft w:val="0"/>
                      <w:marRight w:val="0"/>
                      <w:marTop w:val="0"/>
                      <w:marBottom w:val="0"/>
                      <w:divBdr>
                        <w:top w:val="none" w:sz="0" w:space="0" w:color="auto"/>
                        <w:left w:val="none" w:sz="0" w:space="0" w:color="auto"/>
                        <w:bottom w:val="none" w:sz="0" w:space="0" w:color="auto"/>
                        <w:right w:val="none" w:sz="0" w:space="0" w:color="auto"/>
                      </w:divBdr>
                    </w:div>
                    <w:div w:id="1299071175">
                      <w:marLeft w:val="0"/>
                      <w:marRight w:val="0"/>
                      <w:marTop w:val="0"/>
                      <w:marBottom w:val="0"/>
                      <w:divBdr>
                        <w:top w:val="none" w:sz="0" w:space="0" w:color="auto"/>
                        <w:left w:val="none" w:sz="0" w:space="0" w:color="auto"/>
                        <w:bottom w:val="none" w:sz="0" w:space="0" w:color="auto"/>
                        <w:right w:val="none" w:sz="0" w:space="0" w:color="auto"/>
                      </w:divBdr>
                    </w:div>
                    <w:div w:id="1023477137">
                      <w:marLeft w:val="0"/>
                      <w:marRight w:val="0"/>
                      <w:marTop w:val="0"/>
                      <w:marBottom w:val="0"/>
                      <w:divBdr>
                        <w:top w:val="none" w:sz="0" w:space="0" w:color="auto"/>
                        <w:left w:val="none" w:sz="0" w:space="0" w:color="auto"/>
                        <w:bottom w:val="none" w:sz="0" w:space="0" w:color="auto"/>
                        <w:right w:val="none" w:sz="0" w:space="0" w:color="auto"/>
                      </w:divBdr>
                    </w:div>
                    <w:div w:id="87313935">
                      <w:marLeft w:val="0"/>
                      <w:marRight w:val="0"/>
                      <w:marTop w:val="0"/>
                      <w:marBottom w:val="0"/>
                      <w:divBdr>
                        <w:top w:val="none" w:sz="0" w:space="0" w:color="auto"/>
                        <w:left w:val="none" w:sz="0" w:space="0" w:color="auto"/>
                        <w:bottom w:val="none" w:sz="0" w:space="0" w:color="auto"/>
                        <w:right w:val="none" w:sz="0" w:space="0" w:color="auto"/>
                      </w:divBdr>
                    </w:div>
                    <w:div w:id="855266865">
                      <w:marLeft w:val="0"/>
                      <w:marRight w:val="0"/>
                      <w:marTop w:val="0"/>
                      <w:marBottom w:val="0"/>
                      <w:divBdr>
                        <w:top w:val="none" w:sz="0" w:space="0" w:color="auto"/>
                        <w:left w:val="none" w:sz="0" w:space="0" w:color="auto"/>
                        <w:bottom w:val="none" w:sz="0" w:space="0" w:color="auto"/>
                        <w:right w:val="none" w:sz="0" w:space="0" w:color="auto"/>
                      </w:divBdr>
                    </w:div>
                    <w:div w:id="753740493">
                      <w:marLeft w:val="0"/>
                      <w:marRight w:val="0"/>
                      <w:marTop w:val="0"/>
                      <w:marBottom w:val="0"/>
                      <w:divBdr>
                        <w:top w:val="none" w:sz="0" w:space="0" w:color="auto"/>
                        <w:left w:val="none" w:sz="0" w:space="0" w:color="auto"/>
                        <w:bottom w:val="none" w:sz="0" w:space="0" w:color="auto"/>
                        <w:right w:val="none" w:sz="0" w:space="0" w:color="auto"/>
                      </w:divBdr>
                    </w:div>
                    <w:div w:id="3829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5052">
          <w:marLeft w:val="0"/>
          <w:marRight w:val="0"/>
          <w:marTop w:val="0"/>
          <w:marBottom w:val="0"/>
          <w:divBdr>
            <w:top w:val="none" w:sz="0" w:space="0" w:color="auto"/>
            <w:left w:val="none" w:sz="0" w:space="0" w:color="auto"/>
            <w:bottom w:val="none" w:sz="0" w:space="0" w:color="auto"/>
            <w:right w:val="none" w:sz="0" w:space="0" w:color="auto"/>
          </w:divBdr>
        </w:div>
      </w:divsChild>
    </w:div>
    <w:div w:id="1050423474">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143693551">
      <w:bodyDiv w:val="1"/>
      <w:marLeft w:val="0"/>
      <w:marRight w:val="0"/>
      <w:marTop w:val="0"/>
      <w:marBottom w:val="0"/>
      <w:divBdr>
        <w:top w:val="none" w:sz="0" w:space="0" w:color="auto"/>
        <w:left w:val="none" w:sz="0" w:space="0" w:color="auto"/>
        <w:bottom w:val="none" w:sz="0" w:space="0" w:color="auto"/>
        <w:right w:val="none" w:sz="0" w:space="0" w:color="auto"/>
      </w:divBdr>
    </w:div>
    <w:div w:id="1164131515">
      <w:bodyDiv w:val="1"/>
      <w:marLeft w:val="0"/>
      <w:marRight w:val="0"/>
      <w:marTop w:val="0"/>
      <w:marBottom w:val="0"/>
      <w:divBdr>
        <w:top w:val="none" w:sz="0" w:space="0" w:color="auto"/>
        <w:left w:val="none" w:sz="0" w:space="0" w:color="auto"/>
        <w:bottom w:val="none" w:sz="0" w:space="0" w:color="auto"/>
        <w:right w:val="none" w:sz="0" w:space="0" w:color="auto"/>
      </w:divBdr>
    </w:div>
    <w:div w:id="1255020334">
      <w:bodyDiv w:val="1"/>
      <w:marLeft w:val="0"/>
      <w:marRight w:val="0"/>
      <w:marTop w:val="0"/>
      <w:marBottom w:val="0"/>
      <w:divBdr>
        <w:top w:val="none" w:sz="0" w:space="0" w:color="auto"/>
        <w:left w:val="none" w:sz="0" w:space="0" w:color="auto"/>
        <w:bottom w:val="none" w:sz="0" w:space="0" w:color="auto"/>
        <w:right w:val="none" w:sz="0" w:space="0" w:color="auto"/>
      </w:divBdr>
      <w:divsChild>
        <w:div w:id="1270166772">
          <w:marLeft w:val="720"/>
          <w:marRight w:val="0"/>
          <w:marTop w:val="0"/>
          <w:marBottom w:val="0"/>
          <w:divBdr>
            <w:top w:val="none" w:sz="0" w:space="0" w:color="auto"/>
            <w:left w:val="none" w:sz="0" w:space="0" w:color="auto"/>
            <w:bottom w:val="none" w:sz="0" w:space="0" w:color="auto"/>
            <w:right w:val="none" w:sz="0" w:space="0" w:color="auto"/>
          </w:divBdr>
        </w:div>
        <w:div w:id="41368330">
          <w:marLeft w:val="720"/>
          <w:marRight w:val="0"/>
          <w:marTop w:val="0"/>
          <w:marBottom w:val="0"/>
          <w:divBdr>
            <w:top w:val="none" w:sz="0" w:space="0" w:color="auto"/>
            <w:left w:val="none" w:sz="0" w:space="0" w:color="auto"/>
            <w:bottom w:val="none" w:sz="0" w:space="0" w:color="auto"/>
            <w:right w:val="none" w:sz="0" w:space="0" w:color="auto"/>
          </w:divBdr>
        </w:div>
        <w:div w:id="132909669">
          <w:marLeft w:val="720"/>
          <w:marRight w:val="0"/>
          <w:marTop w:val="0"/>
          <w:marBottom w:val="0"/>
          <w:divBdr>
            <w:top w:val="none" w:sz="0" w:space="0" w:color="auto"/>
            <w:left w:val="none" w:sz="0" w:space="0" w:color="auto"/>
            <w:bottom w:val="none" w:sz="0" w:space="0" w:color="auto"/>
            <w:right w:val="none" w:sz="0" w:space="0" w:color="auto"/>
          </w:divBdr>
        </w:div>
      </w:divsChild>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446464681">
      <w:bodyDiv w:val="1"/>
      <w:marLeft w:val="0"/>
      <w:marRight w:val="0"/>
      <w:marTop w:val="0"/>
      <w:marBottom w:val="0"/>
      <w:divBdr>
        <w:top w:val="none" w:sz="0" w:space="0" w:color="auto"/>
        <w:left w:val="none" w:sz="0" w:space="0" w:color="auto"/>
        <w:bottom w:val="none" w:sz="0" w:space="0" w:color="auto"/>
        <w:right w:val="none" w:sz="0" w:space="0" w:color="auto"/>
      </w:divBdr>
    </w:div>
    <w:div w:id="1472594881">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84207">
      <w:bodyDiv w:val="1"/>
      <w:marLeft w:val="0"/>
      <w:marRight w:val="0"/>
      <w:marTop w:val="0"/>
      <w:marBottom w:val="0"/>
      <w:divBdr>
        <w:top w:val="none" w:sz="0" w:space="0" w:color="auto"/>
        <w:left w:val="none" w:sz="0" w:space="0" w:color="auto"/>
        <w:bottom w:val="none" w:sz="0" w:space="0" w:color="auto"/>
        <w:right w:val="none" w:sz="0" w:space="0" w:color="auto"/>
      </w:divBdr>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808428873">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1976256484">
      <w:bodyDiv w:val="1"/>
      <w:marLeft w:val="0"/>
      <w:marRight w:val="0"/>
      <w:marTop w:val="0"/>
      <w:marBottom w:val="0"/>
      <w:divBdr>
        <w:top w:val="none" w:sz="0" w:space="0" w:color="auto"/>
        <w:left w:val="none" w:sz="0" w:space="0" w:color="auto"/>
        <w:bottom w:val="none" w:sz="0" w:space="0" w:color="auto"/>
        <w:right w:val="none" w:sz="0" w:space="0" w:color="auto"/>
      </w:divBdr>
    </w:div>
    <w:div w:id="2005425872">
      <w:bodyDiv w:val="1"/>
      <w:marLeft w:val="0"/>
      <w:marRight w:val="0"/>
      <w:marTop w:val="0"/>
      <w:marBottom w:val="0"/>
      <w:divBdr>
        <w:top w:val="none" w:sz="0" w:space="0" w:color="auto"/>
        <w:left w:val="none" w:sz="0" w:space="0" w:color="auto"/>
        <w:bottom w:val="none" w:sz="0" w:space="0" w:color="auto"/>
        <w:right w:val="none" w:sz="0" w:space="0" w:color="auto"/>
      </w:divBdr>
    </w:div>
    <w:div w:id="2034919438">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 w:id="2072534714">
      <w:bodyDiv w:val="1"/>
      <w:marLeft w:val="0"/>
      <w:marRight w:val="0"/>
      <w:marTop w:val="0"/>
      <w:marBottom w:val="0"/>
      <w:divBdr>
        <w:top w:val="none" w:sz="0" w:space="0" w:color="auto"/>
        <w:left w:val="none" w:sz="0" w:space="0" w:color="auto"/>
        <w:bottom w:val="none" w:sz="0" w:space="0" w:color="auto"/>
        <w:right w:val="none" w:sz="0" w:space="0" w:color="auto"/>
      </w:divBdr>
    </w:div>
    <w:div w:id="2113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4B36C-CECB-418D-9DB2-040F3404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2180</Words>
  <Characters>12692</Characters>
  <Application>Microsoft Office Word</Application>
  <DocSecurity>0</DocSecurity>
  <Lines>295</Lines>
  <Paragraphs>200</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5</cp:revision>
  <cp:lastPrinted>2020-09-23T05:05:00Z</cp:lastPrinted>
  <dcterms:created xsi:type="dcterms:W3CDTF">2025-11-28T04:33:00Z</dcterms:created>
  <dcterms:modified xsi:type="dcterms:W3CDTF">2026-09-15T06:49:00Z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2026-09-15T01:06:33Z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215a2896-2978-494d-bb12-cc059666b0db</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